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7F58" w:rsidRDefault="003B7F58">
      <w:bookmarkStart w:id="0" w:name="_GoBack"/>
      <w:bookmarkEnd w:id="0"/>
    </w:p>
    <w:tbl>
      <w:tblPr>
        <w:tblW w:w="9800" w:type="dxa"/>
        <w:tblLayout w:type="fixed"/>
        <w:tblCellMar>
          <w:left w:w="28" w:type="dxa"/>
          <w:right w:w="28" w:type="dxa"/>
        </w:tblCellMar>
        <w:tblLook w:val="0000" w:firstRow="0" w:lastRow="0" w:firstColumn="0" w:lastColumn="0" w:noHBand="0" w:noVBand="0"/>
      </w:tblPr>
      <w:tblGrid>
        <w:gridCol w:w="1378"/>
        <w:gridCol w:w="397"/>
        <w:gridCol w:w="227"/>
        <w:gridCol w:w="1361"/>
        <w:gridCol w:w="369"/>
        <w:gridCol w:w="397"/>
        <w:gridCol w:w="340"/>
        <w:gridCol w:w="2240"/>
        <w:gridCol w:w="397"/>
        <w:gridCol w:w="227"/>
        <w:gridCol w:w="1361"/>
        <w:gridCol w:w="369"/>
        <w:gridCol w:w="397"/>
        <w:gridCol w:w="340"/>
      </w:tblGrid>
      <w:tr w:rsidR="00626F1B" w:rsidRPr="00363809" w:rsidTr="00A94364">
        <w:trPr>
          <w:cantSplit/>
        </w:trPr>
        <w:tc>
          <w:tcPr>
            <w:tcW w:w="1378" w:type="dxa"/>
            <w:tcBorders>
              <w:top w:val="nil"/>
              <w:left w:val="nil"/>
              <w:bottom w:val="nil"/>
              <w:right w:val="nil"/>
            </w:tcBorders>
            <w:vAlign w:val="bottom"/>
          </w:tcPr>
          <w:p w:rsidR="00626F1B" w:rsidRPr="00AD0652" w:rsidRDefault="00626F1B" w:rsidP="00B972FD">
            <w:r w:rsidRPr="00AD0652">
              <w:t>Утвержден “</w:t>
            </w:r>
          </w:p>
        </w:tc>
        <w:tc>
          <w:tcPr>
            <w:tcW w:w="397" w:type="dxa"/>
            <w:tcBorders>
              <w:top w:val="nil"/>
              <w:left w:val="nil"/>
              <w:bottom w:val="single" w:sz="4" w:space="0" w:color="auto"/>
              <w:right w:val="nil"/>
            </w:tcBorders>
            <w:vAlign w:val="bottom"/>
          </w:tcPr>
          <w:p w:rsidR="00626F1B" w:rsidRPr="00950611" w:rsidRDefault="00950611" w:rsidP="00B972FD">
            <w:pPr>
              <w:jc w:val="center"/>
            </w:pPr>
            <w:r w:rsidRPr="00950611">
              <w:t>08</w:t>
            </w:r>
          </w:p>
        </w:tc>
        <w:tc>
          <w:tcPr>
            <w:tcW w:w="227" w:type="dxa"/>
            <w:tcBorders>
              <w:top w:val="nil"/>
              <w:left w:val="nil"/>
              <w:bottom w:val="nil"/>
              <w:right w:val="nil"/>
            </w:tcBorders>
            <w:vAlign w:val="bottom"/>
          </w:tcPr>
          <w:p w:rsidR="00626F1B" w:rsidRPr="00950611" w:rsidRDefault="00626F1B" w:rsidP="00B972FD">
            <w:bookmarkStart w:id="1" w:name="OLE_LINK2"/>
            <w:r w:rsidRPr="00950611">
              <w:t>”</w:t>
            </w:r>
            <w:bookmarkEnd w:id="1"/>
          </w:p>
        </w:tc>
        <w:tc>
          <w:tcPr>
            <w:tcW w:w="1361" w:type="dxa"/>
            <w:tcBorders>
              <w:top w:val="nil"/>
              <w:left w:val="nil"/>
              <w:bottom w:val="single" w:sz="4" w:space="0" w:color="auto"/>
              <w:right w:val="nil"/>
            </w:tcBorders>
            <w:vAlign w:val="bottom"/>
          </w:tcPr>
          <w:p w:rsidR="00626F1B" w:rsidRPr="00950611" w:rsidRDefault="00A80957" w:rsidP="00B972FD">
            <w:pPr>
              <w:jc w:val="center"/>
            </w:pPr>
            <w:r w:rsidRPr="00950611">
              <w:t>апреля</w:t>
            </w:r>
          </w:p>
        </w:tc>
        <w:tc>
          <w:tcPr>
            <w:tcW w:w="369" w:type="dxa"/>
            <w:tcBorders>
              <w:top w:val="nil"/>
              <w:left w:val="nil"/>
              <w:bottom w:val="nil"/>
              <w:right w:val="nil"/>
            </w:tcBorders>
            <w:vAlign w:val="bottom"/>
          </w:tcPr>
          <w:p w:rsidR="00626F1B" w:rsidRPr="00950611" w:rsidRDefault="00626F1B" w:rsidP="00B972FD">
            <w:pPr>
              <w:jc w:val="right"/>
            </w:pPr>
            <w:r w:rsidRPr="00950611">
              <w:t>20</w:t>
            </w:r>
          </w:p>
        </w:tc>
        <w:tc>
          <w:tcPr>
            <w:tcW w:w="397" w:type="dxa"/>
            <w:tcBorders>
              <w:top w:val="nil"/>
              <w:left w:val="nil"/>
              <w:bottom w:val="single" w:sz="4" w:space="0" w:color="auto"/>
              <w:right w:val="nil"/>
            </w:tcBorders>
            <w:vAlign w:val="bottom"/>
          </w:tcPr>
          <w:p w:rsidR="00626F1B" w:rsidRPr="00950611" w:rsidRDefault="00A94364" w:rsidP="00B972FD">
            <w:pPr>
              <w:rPr>
                <w:lang w:val="en-US"/>
              </w:rPr>
            </w:pPr>
            <w:r w:rsidRPr="00950611">
              <w:rPr>
                <w:lang w:val="en-US"/>
              </w:rPr>
              <w:t>16</w:t>
            </w:r>
          </w:p>
        </w:tc>
        <w:tc>
          <w:tcPr>
            <w:tcW w:w="340" w:type="dxa"/>
            <w:tcBorders>
              <w:top w:val="nil"/>
              <w:left w:val="nil"/>
              <w:bottom w:val="nil"/>
              <w:right w:val="nil"/>
            </w:tcBorders>
            <w:vAlign w:val="bottom"/>
          </w:tcPr>
          <w:p w:rsidR="00626F1B" w:rsidRPr="00950611" w:rsidRDefault="00626F1B" w:rsidP="00B972FD">
            <w:pPr>
              <w:ind w:left="57"/>
            </w:pPr>
            <w:r w:rsidRPr="00950611">
              <w:t>г.</w:t>
            </w:r>
          </w:p>
        </w:tc>
        <w:tc>
          <w:tcPr>
            <w:tcW w:w="2240" w:type="dxa"/>
            <w:tcBorders>
              <w:top w:val="nil"/>
              <w:left w:val="nil"/>
              <w:bottom w:val="nil"/>
              <w:right w:val="nil"/>
            </w:tcBorders>
            <w:vAlign w:val="bottom"/>
          </w:tcPr>
          <w:tbl>
            <w:tblPr>
              <w:tblW w:w="0" w:type="auto"/>
              <w:tblBorders>
                <w:top w:val="nil"/>
                <w:left w:val="nil"/>
                <w:bottom w:val="nil"/>
                <w:right w:val="nil"/>
              </w:tblBorders>
              <w:tblLayout w:type="fixed"/>
              <w:tblLook w:val="0000" w:firstRow="0" w:lastRow="0" w:firstColumn="0" w:lastColumn="0" w:noHBand="0" w:noVBand="0"/>
            </w:tblPr>
            <w:tblGrid>
              <w:gridCol w:w="2034"/>
            </w:tblGrid>
            <w:tr w:rsidR="00A94364" w:rsidRPr="00A94364" w:rsidTr="00A94364">
              <w:trPr>
                <w:trHeight w:val="486"/>
              </w:trPr>
              <w:tc>
                <w:tcPr>
                  <w:tcW w:w="2034" w:type="dxa"/>
                </w:tcPr>
                <w:p w:rsidR="00A94364" w:rsidRPr="00A94364" w:rsidRDefault="00A94364" w:rsidP="00A94364">
                  <w:pPr>
                    <w:widowControl/>
                    <w:spacing w:before="0" w:after="0"/>
                    <w:rPr>
                      <w:rFonts w:eastAsiaTheme="minorHAnsi"/>
                      <w:color w:val="000000"/>
                      <w:lang w:eastAsia="en-US"/>
                    </w:rPr>
                  </w:pPr>
                  <w:r w:rsidRPr="00A94364">
                    <w:rPr>
                      <w:rFonts w:eastAsiaTheme="minorHAnsi"/>
                      <w:color w:val="000000"/>
                      <w:lang w:eastAsia="en-US"/>
                    </w:rPr>
                    <w:t xml:space="preserve">Дата присвоения идентификационного номера Программе биржевых облигаций </w:t>
                  </w:r>
                </w:p>
              </w:tc>
            </w:tr>
          </w:tbl>
          <w:p w:rsidR="00626F1B" w:rsidRDefault="00626F1B" w:rsidP="00A94364">
            <w:pPr>
              <w:jc w:val="right"/>
              <w:rPr>
                <w:sz w:val="24"/>
                <w:szCs w:val="24"/>
              </w:rPr>
            </w:pPr>
            <w:r w:rsidRPr="00A94364">
              <w:rPr>
                <w:sz w:val="24"/>
                <w:szCs w:val="24"/>
              </w:rPr>
              <w:t xml:space="preserve"> </w:t>
            </w:r>
            <w:r>
              <w:rPr>
                <w:sz w:val="24"/>
                <w:szCs w:val="24"/>
              </w:rPr>
              <w:t>“</w:t>
            </w:r>
          </w:p>
        </w:tc>
        <w:tc>
          <w:tcPr>
            <w:tcW w:w="397" w:type="dxa"/>
            <w:tcBorders>
              <w:top w:val="nil"/>
              <w:left w:val="nil"/>
              <w:bottom w:val="single" w:sz="4" w:space="0" w:color="auto"/>
              <w:right w:val="nil"/>
            </w:tcBorders>
            <w:vAlign w:val="bottom"/>
          </w:tcPr>
          <w:p w:rsidR="00626F1B" w:rsidRPr="00363809" w:rsidRDefault="00626F1B" w:rsidP="00B972FD">
            <w:pPr>
              <w:jc w:val="center"/>
            </w:pPr>
          </w:p>
        </w:tc>
        <w:tc>
          <w:tcPr>
            <w:tcW w:w="227" w:type="dxa"/>
            <w:tcBorders>
              <w:top w:val="nil"/>
              <w:left w:val="nil"/>
              <w:bottom w:val="nil"/>
              <w:right w:val="nil"/>
            </w:tcBorders>
            <w:vAlign w:val="bottom"/>
          </w:tcPr>
          <w:p w:rsidR="00626F1B" w:rsidRPr="00363809" w:rsidRDefault="00626F1B" w:rsidP="00B972FD">
            <w:r w:rsidRPr="00363809">
              <w:t>”</w:t>
            </w:r>
          </w:p>
        </w:tc>
        <w:tc>
          <w:tcPr>
            <w:tcW w:w="1361" w:type="dxa"/>
            <w:tcBorders>
              <w:top w:val="nil"/>
              <w:left w:val="nil"/>
              <w:bottom w:val="single" w:sz="4" w:space="0" w:color="auto"/>
              <w:right w:val="nil"/>
            </w:tcBorders>
            <w:vAlign w:val="bottom"/>
          </w:tcPr>
          <w:p w:rsidR="00626F1B" w:rsidRPr="00363809" w:rsidRDefault="00626F1B" w:rsidP="00B972FD">
            <w:pPr>
              <w:jc w:val="center"/>
            </w:pPr>
          </w:p>
        </w:tc>
        <w:tc>
          <w:tcPr>
            <w:tcW w:w="369" w:type="dxa"/>
            <w:tcBorders>
              <w:top w:val="nil"/>
              <w:left w:val="nil"/>
              <w:bottom w:val="nil"/>
              <w:right w:val="nil"/>
            </w:tcBorders>
            <w:vAlign w:val="bottom"/>
          </w:tcPr>
          <w:p w:rsidR="00626F1B" w:rsidRPr="00363809" w:rsidRDefault="00626F1B" w:rsidP="00B972FD">
            <w:pPr>
              <w:jc w:val="right"/>
            </w:pPr>
            <w:r w:rsidRPr="00363809">
              <w:t>20</w:t>
            </w:r>
          </w:p>
        </w:tc>
        <w:tc>
          <w:tcPr>
            <w:tcW w:w="397" w:type="dxa"/>
            <w:tcBorders>
              <w:top w:val="nil"/>
              <w:left w:val="nil"/>
              <w:bottom w:val="single" w:sz="4" w:space="0" w:color="auto"/>
              <w:right w:val="nil"/>
            </w:tcBorders>
            <w:vAlign w:val="bottom"/>
          </w:tcPr>
          <w:p w:rsidR="00626F1B" w:rsidRPr="00363809" w:rsidRDefault="00A94364" w:rsidP="00B972FD">
            <w:r w:rsidRPr="00363809">
              <w:t>16</w:t>
            </w:r>
          </w:p>
        </w:tc>
        <w:tc>
          <w:tcPr>
            <w:tcW w:w="340" w:type="dxa"/>
            <w:tcBorders>
              <w:top w:val="nil"/>
              <w:left w:val="nil"/>
              <w:bottom w:val="nil"/>
              <w:right w:val="nil"/>
            </w:tcBorders>
            <w:vAlign w:val="bottom"/>
          </w:tcPr>
          <w:p w:rsidR="00626F1B" w:rsidRPr="00363809" w:rsidRDefault="00626F1B" w:rsidP="00B972FD">
            <w:pPr>
              <w:ind w:left="57"/>
            </w:pPr>
            <w:r w:rsidRPr="00363809">
              <w:t>г.</w:t>
            </w:r>
          </w:p>
        </w:tc>
      </w:tr>
    </w:tbl>
    <w:p w:rsidR="003B7F58" w:rsidRDefault="003B7F58" w:rsidP="00626F1B">
      <w:pPr>
        <w:ind w:left="4621"/>
      </w:pPr>
    </w:p>
    <w:p w:rsidR="00626F1B" w:rsidRPr="00AD0652" w:rsidRDefault="00A94364" w:rsidP="00626F1B">
      <w:pPr>
        <w:ind w:left="4621"/>
      </w:pPr>
      <w:r w:rsidRPr="00AD0652">
        <w:t>Идентификационный</w:t>
      </w:r>
      <w:r w:rsidR="00626F1B" w:rsidRPr="00AD0652">
        <w:t xml:space="preserve"> номер</w:t>
      </w:r>
    </w:p>
    <w:tbl>
      <w:tblPr>
        <w:tblW w:w="10033" w:type="dxa"/>
        <w:tblInd w:w="-80" w:type="dxa"/>
        <w:tblLayout w:type="fixed"/>
        <w:tblCellMar>
          <w:left w:w="28" w:type="dxa"/>
          <w:right w:w="28" w:type="dxa"/>
        </w:tblCellMar>
        <w:tblLook w:val="0000" w:firstRow="0" w:lastRow="0" w:firstColumn="0" w:lastColumn="0" w:noHBand="0" w:noVBand="0"/>
      </w:tblPr>
      <w:tblGrid>
        <w:gridCol w:w="80"/>
        <w:gridCol w:w="1738"/>
        <w:gridCol w:w="2571"/>
        <w:gridCol w:w="340"/>
        <w:gridCol w:w="312"/>
        <w:gridCol w:w="312"/>
        <w:gridCol w:w="312"/>
        <w:gridCol w:w="312"/>
        <w:gridCol w:w="312"/>
        <w:gridCol w:w="312"/>
        <w:gridCol w:w="312"/>
        <w:gridCol w:w="312"/>
        <w:gridCol w:w="312"/>
        <w:gridCol w:w="312"/>
        <w:gridCol w:w="312"/>
        <w:gridCol w:w="312"/>
        <w:gridCol w:w="312"/>
        <w:gridCol w:w="312"/>
        <w:gridCol w:w="312"/>
        <w:gridCol w:w="312"/>
        <w:gridCol w:w="312"/>
      </w:tblGrid>
      <w:tr w:rsidR="00626F1B" w:rsidTr="00A94364">
        <w:trPr>
          <w:gridBefore w:val="1"/>
          <w:wBefore w:w="80" w:type="dxa"/>
          <w:trHeight w:hRule="exact" w:val="745"/>
        </w:trPr>
        <w:tc>
          <w:tcPr>
            <w:tcW w:w="4309" w:type="dxa"/>
            <w:gridSpan w:val="2"/>
            <w:tcBorders>
              <w:top w:val="nil"/>
              <w:left w:val="nil"/>
              <w:bottom w:val="single" w:sz="4" w:space="0" w:color="auto"/>
              <w:right w:val="nil"/>
            </w:tcBorders>
            <w:vAlign w:val="bottom"/>
          </w:tcPr>
          <w:p w:rsidR="00626F1B" w:rsidRPr="00A94364" w:rsidRDefault="00A94364" w:rsidP="00A94364">
            <w:pPr>
              <w:jc w:val="both"/>
              <w:rPr>
                <w:b/>
              </w:rPr>
            </w:pPr>
            <w:r w:rsidRPr="00A94364">
              <w:rPr>
                <w:rStyle w:val="a6"/>
                <w:b w:val="0"/>
                <w:color w:val="000000"/>
                <w:shd w:val="clear" w:color="auto" w:fill="FFFFFF"/>
              </w:rPr>
              <w:t xml:space="preserve">Советом директоров Закрытого акционерного </w:t>
            </w:r>
            <w:r>
              <w:rPr>
                <w:rStyle w:val="a6"/>
                <w:b w:val="0"/>
                <w:color w:val="000000"/>
                <w:shd w:val="clear" w:color="auto" w:fill="FFFFFF"/>
              </w:rPr>
              <w:t>о</w:t>
            </w:r>
            <w:r w:rsidRPr="00A94364">
              <w:rPr>
                <w:rStyle w:val="a6"/>
                <w:b w:val="0"/>
                <w:color w:val="000000"/>
                <w:shd w:val="clear" w:color="auto" w:fill="FFFFFF"/>
              </w:rPr>
              <w:t>бщества Специализированное Строительно-Монтажное Объединение «ЛенСпецСМУ»</w:t>
            </w:r>
          </w:p>
        </w:tc>
        <w:tc>
          <w:tcPr>
            <w:tcW w:w="340" w:type="dxa"/>
            <w:tcBorders>
              <w:top w:val="nil"/>
              <w:left w:val="nil"/>
              <w:bottom w:val="nil"/>
              <w:right w:val="nil"/>
            </w:tcBorders>
            <w:vAlign w:val="bottom"/>
          </w:tcPr>
          <w:p w:rsidR="00626F1B" w:rsidRDefault="00626F1B" w:rsidP="00B972FD">
            <w:pPr>
              <w:jc w:val="center"/>
              <w:rPr>
                <w:sz w:val="24"/>
                <w:szCs w:val="24"/>
              </w:rPr>
            </w:pPr>
          </w:p>
        </w:tc>
        <w:tc>
          <w:tcPr>
            <w:tcW w:w="312" w:type="dxa"/>
            <w:tcBorders>
              <w:top w:val="single" w:sz="4" w:space="0" w:color="auto"/>
              <w:left w:val="single" w:sz="4" w:space="0" w:color="auto"/>
              <w:bottom w:val="single" w:sz="4" w:space="0" w:color="auto"/>
              <w:right w:val="single" w:sz="4" w:space="0" w:color="auto"/>
            </w:tcBorders>
            <w:vAlign w:val="center"/>
          </w:tcPr>
          <w:p w:rsidR="00626F1B" w:rsidRDefault="00626F1B" w:rsidP="00B972FD">
            <w:pPr>
              <w:jc w:val="center"/>
              <w:rPr>
                <w:sz w:val="24"/>
                <w:szCs w:val="24"/>
              </w:rPr>
            </w:pPr>
          </w:p>
        </w:tc>
        <w:tc>
          <w:tcPr>
            <w:tcW w:w="312" w:type="dxa"/>
            <w:tcBorders>
              <w:top w:val="nil"/>
              <w:left w:val="nil"/>
              <w:bottom w:val="nil"/>
              <w:right w:val="nil"/>
            </w:tcBorders>
            <w:vAlign w:val="center"/>
          </w:tcPr>
          <w:p w:rsidR="00626F1B" w:rsidRDefault="00626F1B" w:rsidP="00B972FD">
            <w:pPr>
              <w:jc w:val="center"/>
              <w:rPr>
                <w:sz w:val="24"/>
                <w:szCs w:val="24"/>
              </w:rPr>
            </w:pPr>
            <w:r>
              <w:rPr>
                <w:sz w:val="24"/>
                <w:szCs w:val="24"/>
              </w:rPr>
              <w:t>-</w:t>
            </w:r>
          </w:p>
        </w:tc>
        <w:tc>
          <w:tcPr>
            <w:tcW w:w="312" w:type="dxa"/>
            <w:tcBorders>
              <w:top w:val="single" w:sz="4" w:space="0" w:color="auto"/>
              <w:left w:val="single" w:sz="4" w:space="0" w:color="auto"/>
              <w:bottom w:val="single" w:sz="4" w:space="0" w:color="auto"/>
              <w:right w:val="single" w:sz="4" w:space="0" w:color="auto"/>
            </w:tcBorders>
            <w:vAlign w:val="center"/>
          </w:tcPr>
          <w:p w:rsidR="00626F1B" w:rsidRDefault="00626F1B" w:rsidP="00B972FD">
            <w:pPr>
              <w:jc w:val="center"/>
              <w:rPr>
                <w:sz w:val="24"/>
                <w:szCs w:val="24"/>
              </w:rPr>
            </w:pPr>
          </w:p>
        </w:tc>
        <w:tc>
          <w:tcPr>
            <w:tcW w:w="312" w:type="dxa"/>
            <w:tcBorders>
              <w:top w:val="nil"/>
              <w:left w:val="nil"/>
              <w:bottom w:val="nil"/>
              <w:right w:val="nil"/>
            </w:tcBorders>
            <w:vAlign w:val="center"/>
          </w:tcPr>
          <w:p w:rsidR="00626F1B" w:rsidRDefault="00626F1B" w:rsidP="00B972FD">
            <w:pPr>
              <w:jc w:val="center"/>
              <w:rPr>
                <w:sz w:val="24"/>
                <w:szCs w:val="24"/>
              </w:rPr>
            </w:pPr>
          </w:p>
        </w:tc>
        <w:tc>
          <w:tcPr>
            <w:tcW w:w="312" w:type="dxa"/>
            <w:tcBorders>
              <w:top w:val="nil"/>
              <w:left w:val="nil"/>
              <w:bottom w:val="nil"/>
              <w:right w:val="nil"/>
            </w:tcBorders>
            <w:vAlign w:val="center"/>
          </w:tcPr>
          <w:p w:rsidR="00626F1B" w:rsidRDefault="00626F1B" w:rsidP="00B972FD">
            <w:pPr>
              <w:jc w:val="center"/>
              <w:rPr>
                <w:sz w:val="24"/>
                <w:szCs w:val="24"/>
              </w:rPr>
            </w:pPr>
            <w:r>
              <w:rPr>
                <w:sz w:val="24"/>
                <w:szCs w:val="24"/>
              </w:rPr>
              <w:t>-</w:t>
            </w:r>
          </w:p>
        </w:tc>
        <w:tc>
          <w:tcPr>
            <w:tcW w:w="312" w:type="dxa"/>
            <w:tcBorders>
              <w:top w:val="single" w:sz="4" w:space="0" w:color="auto"/>
              <w:left w:val="single" w:sz="4" w:space="0" w:color="auto"/>
              <w:bottom w:val="single" w:sz="4" w:space="0" w:color="auto"/>
              <w:right w:val="single" w:sz="4" w:space="0" w:color="auto"/>
            </w:tcBorders>
            <w:vAlign w:val="center"/>
          </w:tcPr>
          <w:p w:rsidR="00626F1B" w:rsidRDefault="00626F1B" w:rsidP="00B972FD">
            <w:pPr>
              <w:jc w:val="center"/>
              <w:rPr>
                <w:sz w:val="24"/>
                <w:szCs w:val="24"/>
              </w:rPr>
            </w:pPr>
          </w:p>
        </w:tc>
        <w:tc>
          <w:tcPr>
            <w:tcW w:w="312" w:type="dxa"/>
            <w:tcBorders>
              <w:top w:val="single" w:sz="4" w:space="0" w:color="auto"/>
              <w:left w:val="single" w:sz="4" w:space="0" w:color="auto"/>
              <w:bottom w:val="single" w:sz="4" w:space="0" w:color="auto"/>
              <w:right w:val="single" w:sz="4" w:space="0" w:color="auto"/>
            </w:tcBorders>
            <w:vAlign w:val="center"/>
          </w:tcPr>
          <w:p w:rsidR="00626F1B" w:rsidRDefault="00626F1B" w:rsidP="00B972FD">
            <w:pPr>
              <w:jc w:val="center"/>
              <w:rPr>
                <w:sz w:val="24"/>
                <w:szCs w:val="24"/>
              </w:rPr>
            </w:pPr>
          </w:p>
        </w:tc>
        <w:tc>
          <w:tcPr>
            <w:tcW w:w="312" w:type="dxa"/>
            <w:tcBorders>
              <w:top w:val="single" w:sz="4" w:space="0" w:color="auto"/>
              <w:left w:val="single" w:sz="4" w:space="0" w:color="auto"/>
              <w:bottom w:val="single" w:sz="4" w:space="0" w:color="auto"/>
              <w:right w:val="single" w:sz="4" w:space="0" w:color="auto"/>
            </w:tcBorders>
            <w:vAlign w:val="center"/>
          </w:tcPr>
          <w:p w:rsidR="00626F1B" w:rsidRDefault="00626F1B" w:rsidP="00B972FD">
            <w:pPr>
              <w:jc w:val="center"/>
              <w:rPr>
                <w:sz w:val="24"/>
                <w:szCs w:val="24"/>
              </w:rPr>
            </w:pPr>
          </w:p>
        </w:tc>
        <w:tc>
          <w:tcPr>
            <w:tcW w:w="312" w:type="dxa"/>
            <w:tcBorders>
              <w:top w:val="single" w:sz="4" w:space="0" w:color="auto"/>
              <w:left w:val="single" w:sz="4" w:space="0" w:color="auto"/>
              <w:bottom w:val="single" w:sz="4" w:space="0" w:color="auto"/>
              <w:right w:val="single" w:sz="4" w:space="0" w:color="auto"/>
            </w:tcBorders>
            <w:vAlign w:val="center"/>
          </w:tcPr>
          <w:p w:rsidR="00626F1B" w:rsidRDefault="00626F1B" w:rsidP="00B972FD">
            <w:pPr>
              <w:jc w:val="center"/>
              <w:rPr>
                <w:sz w:val="24"/>
                <w:szCs w:val="24"/>
              </w:rPr>
            </w:pPr>
          </w:p>
        </w:tc>
        <w:tc>
          <w:tcPr>
            <w:tcW w:w="312" w:type="dxa"/>
            <w:tcBorders>
              <w:top w:val="single" w:sz="4" w:space="0" w:color="auto"/>
              <w:left w:val="single" w:sz="4" w:space="0" w:color="auto"/>
              <w:bottom w:val="single" w:sz="4" w:space="0" w:color="auto"/>
              <w:right w:val="single" w:sz="4" w:space="0" w:color="auto"/>
            </w:tcBorders>
            <w:vAlign w:val="center"/>
          </w:tcPr>
          <w:p w:rsidR="00626F1B" w:rsidRDefault="00626F1B" w:rsidP="00B972FD">
            <w:pPr>
              <w:jc w:val="center"/>
              <w:rPr>
                <w:sz w:val="24"/>
                <w:szCs w:val="24"/>
              </w:rPr>
            </w:pPr>
          </w:p>
        </w:tc>
        <w:tc>
          <w:tcPr>
            <w:tcW w:w="312" w:type="dxa"/>
            <w:tcBorders>
              <w:top w:val="nil"/>
              <w:left w:val="nil"/>
              <w:bottom w:val="nil"/>
              <w:right w:val="nil"/>
            </w:tcBorders>
            <w:vAlign w:val="center"/>
          </w:tcPr>
          <w:p w:rsidR="00626F1B" w:rsidRDefault="00626F1B" w:rsidP="00B972FD">
            <w:pPr>
              <w:jc w:val="center"/>
              <w:rPr>
                <w:sz w:val="24"/>
                <w:szCs w:val="24"/>
              </w:rPr>
            </w:pPr>
            <w:r>
              <w:rPr>
                <w:sz w:val="24"/>
                <w:szCs w:val="24"/>
              </w:rPr>
              <w:t>-</w:t>
            </w:r>
          </w:p>
        </w:tc>
        <w:tc>
          <w:tcPr>
            <w:tcW w:w="312" w:type="dxa"/>
            <w:tcBorders>
              <w:top w:val="single" w:sz="4" w:space="0" w:color="auto"/>
              <w:left w:val="single" w:sz="4" w:space="0" w:color="auto"/>
              <w:bottom w:val="single" w:sz="4" w:space="0" w:color="auto"/>
              <w:right w:val="single" w:sz="4" w:space="0" w:color="auto"/>
            </w:tcBorders>
            <w:vAlign w:val="center"/>
          </w:tcPr>
          <w:p w:rsidR="00626F1B" w:rsidRDefault="00626F1B" w:rsidP="00B972FD">
            <w:pPr>
              <w:jc w:val="center"/>
              <w:rPr>
                <w:sz w:val="24"/>
                <w:szCs w:val="24"/>
              </w:rPr>
            </w:pPr>
          </w:p>
        </w:tc>
        <w:tc>
          <w:tcPr>
            <w:tcW w:w="312" w:type="dxa"/>
            <w:tcBorders>
              <w:top w:val="nil"/>
              <w:left w:val="nil"/>
              <w:bottom w:val="nil"/>
              <w:right w:val="nil"/>
            </w:tcBorders>
            <w:vAlign w:val="center"/>
          </w:tcPr>
          <w:p w:rsidR="00626F1B" w:rsidRDefault="00626F1B" w:rsidP="00B972FD">
            <w:pPr>
              <w:jc w:val="center"/>
              <w:rPr>
                <w:sz w:val="24"/>
                <w:szCs w:val="24"/>
              </w:rPr>
            </w:pPr>
            <w:r>
              <w:rPr>
                <w:sz w:val="24"/>
                <w:szCs w:val="24"/>
              </w:rPr>
              <w:t>-</w:t>
            </w:r>
          </w:p>
        </w:tc>
        <w:tc>
          <w:tcPr>
            <w:tcW w:w="312" w:type="dxa"/>
            <w:tcBorders>
              <w:top w:val="single" w:sz="4" w:space="0" w:color="auto"/>
              <w:left w:val="single" w:sz="4" w:space="0" w:color="auto"/>
              <w:bottom w:val="single" w:sz="4" w:space="0" w:color="auto"/>
              <w:right w:val="single" w:sz="4" w:space="0" w:color="auto"/>
            </w:tcBorders>
            <w:vAlign w:val="center"/>
          </w:tcPr>
          <w:p w:rsidR="00626F1B" w:rsidRDefault="00626F1B" w:rsidP="00B972FD">
            <w:pPr>
              <w:jc w:val="center"/>
              <w:rPr>
                <w:sz w:val="24"/>
                <w:szCs w:val="24"/>
              </w:rPr>
            </w:pPr>
          </w:p>
        </w:tc>
        <w:tc>
          <w:tcPr>
            <w:tcW w:w="312" w:type="dxa"/>
            <w:tcBorders>
              <w:top w:val="single" w:sz="4" w:space="0" w:color="auto"/>
              <w:left w:val="single" w:sz="4" w:space="0" w:color="auto"/>
              <w:bottom w:val="single" w:sz="4" w:space="0" w:color="auto"/>
              <w:right w:val="single" w:sz="4" w:space="0" w:color="auto"/>
            </w:tcBorders>
            <w:vAlign w:val="center"/>
          </w:tcPr>
          <w:p w:rsidR="00626F1B" w:rsidRDefault="00626F1B" w:rsidP="00B972FD">
            <w:pPr>
              <w:jc w:val="center"/>
              <w:rPr>
                <w:sz w:val="24"/>
                <w:szCs w:val="24"/>
              </w:rPr>
            </w:pPr>
          </w:p>
        </w:tc>
        <w:tc>
          <w:tcPr>
            <w:tcW w:w="312" w:type="dxa"/>
            <w:tcBorders>
              <w:top w:val="single" w:sz="4" w:space="0" w:color="auto"/>
              <w:left w:val="single" w:sz="4" w:space="0" w:color="auto"/>
              <w:bottom w:val="single" w:sz="4" w:space="0" w:color="auto"/>
              <w:right w:val="single" w:sz="4" w:space="0" w:color="auto"/>
            </w:tcBorders>
            <w:vAlign w:val="center"/>
          </w:tcPr>
          <w:p w:rsidR="00626F1B" w:rsidRDefault="00626F1B" w:rsidP="00B972FD">
            <w:pPr>
              <w:jc w:val="center"/>
              <w:rPr>
                <w:sz w:val="24"/>
                <w:szCs w:val="24"/>
              </w:rPr>
            </w:pPr>
          </w:p>
        </w:tc>
        <w:tc>
          <w:tcPr>
            <w:tcW w:w="312" w:type="dxa"/>
            <w:tcBorders>
              <w:top w:val="single" w:sz="4" w:space="0" w:color="auto"/>
              <w:left w:val="single" w:sz="4" w:space="0" w:color="auto"/>
              <w:bottom w:val="single" w:sz="4" w:space="0" w:color="auto"/>
              <w:right w:val="single" w:sz="4" w:space="0" w:color="auto"/>
            </w:tcBorders>
            <w:vAlign w:val="center"/>
          </w:tcPr>
          <w:p w:rsidR="00626F1B" w:rsidRDefault="00626F1B" w:rsidP="00B972FD">
            <w:pPr>
              <w:jc w:val="center"/>
              <w:rPr>
                <w:sz w:val="24"/>
                <w:szCs w:val="24"/>
              </w:rPr>
            </w:pPr>
          </w:p>
        </w:tc>
      </w:tr>
      <w:tr w:rsidR="00626F1B" w:rsidTr="00A94364">
        <w:trPr>
          <w:gridBefore w:val="1"/>
          <w:wBefore w:w="80" w:type="dxa"/>
          <w:cantSplit/>
        </w:trPr>
        <w:tc>
          <w:tcPr>
            <w:tcW w:w="4309" w:type="dxa"/>
            <w:gridSpan w:val="2"/>
            <w:tcBorders>
              <w:top w:val="nil"/>
              <w:left w:val="nil"/>
              <w:bottom w:val="nil"/>
              <w:right w:val="nil"/>
            </w:tcBorders>
          </w:tcPr>
          <w:p w:rsidR="00626F1B" w:rsidRDefault="00626F1B" w:rsidP="00B972FD">
            <w:pPr>
              <w:jc w:val="center"/>
              <w:rPr>
                <w:sz w:val="18"/>
                <w:szCs w:val="18"/>
              </w:rPr>
            </w:pPr>
            <w:r>
              <w:rPr>
                <w:sz w:val="18"/>
                <w:szCs w:val="18"/>
              </w:rPr>
              <w:t>(орган эмитента, утвердивший проспект ценных бумаг)</w:t>
            </w:r>
          </w:p>
        </w:tc>
        <w:tc>
          <w:tcPr>
            <w:tcW w:w="5644" w:type="dxa"/>
            <w:gridSpan w:val="18"/>
            <w:tcBorders>
              <w:top w:val="nil"/>
              <w:left w:val="nil"/>
              <w:bottom w:val="nil"/>
              <w:right w:val="nil"/>
            </w:tcBorders>
          </w:tcPr>
          <w:p w:rsidR="00626F1B" w:rsidRDefault="00626F1B" w:rsidP="00B972FD">
            <w:pPr>
              <w:ind w:left="284"/>
              <w:jc w:val="center"/>
              <w:rPr>
                <w:sz w:val="18"/>
                <w:szCs w:val="18"/>
              </w:rPr>
            </w:pPr>
          </w:p>
        </w:tc>
      </w:tr>
      <w:tr w:rsidR="00A94364" w:rsidRPr="00A94364" w:rsidTr="00A94364">
        <w:tblPrEx>
          <w:tblBorders>
            <w:top w:val="nil"/>
            <w:left w:val="nil"/>
            <w:bottom w:val="nil"/>
            <w:right w:val="nil"/>
          </w:tblBorders>
          <w:tblCellMar>
            <w:left w:w="108" w:type="dxa"/>
            <w:right w:w="108" w:type="dxa"/>
          </w:tblCellMar>
        </w:tblPrEx>
        <w:trPr>
          <w:gridAfter w:val="19"/>
          <w:wAfter w:w="8215" w:type="dxa"/>
          <w:trHeight w:val="98"/>
        </w:trPr>
        <w:tc>
          <w:tcPr>
            <w:tcW w:w="1818" w:type="dxa"/>
            <w:gridSpan w:val="2"/>
          </w:tcPr>
          <w:p w:rsidR="00A94364" w:rsidRPr="00A94364" w:rsidRDefault="00A94364" w:rsidP="00A94364">
            <w:pPr>
              <w:widowControl/>
              <w:spacing w:before="0" w:after="0"/>
              <w:rPr>
                <w:rFonts w:eastAsiaTheme="minorHAnsi"/>
                <w:color w:val="000000"/>
                <w:sz w:val="22"/>
                <w:szCs w:val="22"/>
                <w:lang w:eastAsia="en-US"/>
              </w:rPr>
            </w:pPr>
          </w:p>
        </w:tc>
      </w:tr>
    </w:tbl>
    <w:p w:rsidR="00626F1B" w:rsidRPr="00AD0652" w:rsidRDefault="00A94364" w:rsidP="00626F1B">
      <w:pPr>
        <w:ind w:left="4649"/>
        <w:jc w:val="center"/>
      </w:pPr>
      <w:r w:rsidRPr="00A94364">
        <w:rPr>
          <w:rFonts w:eastAsiaTheme="minorHAnsi"/>
          <w:b/>
          <w:bCs/>
          <w:color w:val="000000"/>
          <w:lang w:eastAsia="en-US"/>
        </w:rPr>
        <w:t>ЗАО «ФБ ММВБ»</w:t>
      </w:r>
    </w:p>
    <w:p w:rsidR="00626F1B" w:rsidRDefault="00626F1B" w:rsidP="00626F1B">
      <w:pPr>
        <w:pBdr>
          <w:top w:val="single" w:sz="4" w:space="1" w:color="auto"/>
        </w:pBdr>
        <w:ind w:left="4649"/>
        <w:jc w:val="center"/>
        <w:rPr>
          <w:sz w:val="18"/>
          <w:szCs w:val="18"/>
        </w:rPr>
      </w:pPr>
      <w:r>
        <w:rPr>
          <w:sz w:val="18"/>
          <w:szCs w:val="18"/>
        </w:rPr>
        <w:t xml:space="preserve">(наименование </w:t>
      </w:r>
      <w:r w:rsidR="00A94364">
        <w:rPr>
          <w:sz w:val="18"/>
          <w:szCs w:val="18"/>
        </w:rPr>
        <w:t>биржи, присвоившей идентификационный номер Программе биржевых облигаций</w:t>
      </w:r>
      <w:r>
        <w:rPr>
          <w:sz w:val="18"/>
          <w:szCs w:val="18"/>
        </w:rPr>
        <w:t>)</w:t>
      </w:r>
    </w:p>
    <w:tbl>
      <w:tblPr>
        <w:tblW w:w="0" w:type="auto"/>
        <w:tblLayout w:type="fixed"/>
        <w:tblCellMar>
          <w:left w:w="28" w:type="dxa"/>
          <w:right w:w="28" w:type="dxa"/>
        </w:tblCellMar>
        <w:tblLook w:val="0000" w:firstRow="0" w:lastRow="0" w:firstColumn="0" w:lastColumn="0" w:noHBand="0" w:noVBand="0"/>
      </w:tblPr>
      <w:tblGrid>
        <w:gridCol w:w="476"/>
        <w:gridCol w:w="391"/>
        <w:gridCol w:w="280"/>
        <w:gridCol w:w="265"/>
        <w:gridCol w:w="930"/>
        <w:gridCol w:w="340"/>
        <w:gridCol w:w="340"/>
        <w:gridCol w:w="179"/>
        <w:gridCol w:w="1449"/>
        <w:gridCol w:w="5330"/>
      </w:tblGrid>
      <w:tr w:rsidR="00626F1B" w:rsidTr="00B972FD">
        <w:trPr>
          <w:cantSplit/>
        </w:trPr>
        <w:tc>
          <w:tcPr>
            <w:tcW w:w="1412" w:type="dxa"/>
            <w:gridSpan w:val="4"/>
            <w:tcBorders>
              <w:top w:val="nil"/>
              <w:left w:val="nil"/>
              <w:bottom w:val="nil"/>
              <w:right w:val="nil"/>
            </w:tcBorders>
            <w:vAlign w:val="bottom"/>
          </w:tcPr>
          <w:p w:rsidR="00626F1B" w:rsidRPr="00AD0652" w:rsidRDefault="00626F1B" w:rsidP="00B972FD">
            <w:r w:rsidRPr="00AD0652">
              <w:t>Протокол №</w:t>
            </w:r>
          </w:p>
        </w:tc>
        <w:tc>
          <w:tcPr>
            <w:tcW w:w="1789" w:type="dxa"/>
            <w:gridSpan w:val="4"/>
            <w:tcBorders>
              <w:top w:val="nil"/>
              <w:left w:val="nil"/>
              <w:bottom w:val="single" w:sz="4" w:space="0" w:color="auto"/>
              <w:right w:val="nil"/>
            </w:tcBorders>
            <w:vAlign w:val="bottom"/>
          </w:tcPr>
          <w:p w:rsidR="00626F1B" w:rsidRPr="00AD0652" w:rsidRDefault="00A80957" w:rsidP="00B972FD">
            <w:pPr>
              <w:jc w:val="center"/>
            </w:pPr>
            <w:r>
              <w:t>162</w:t>
            </w:r>
          </w:p>
        </w:tc>
        <w:tc>
          <w:tcPr>
            <w:tcW w:w="1449" w:type="dxa"/>
            <w:tcBorders>
              <w:top w:val="nil"/>
              <w:left w:val="nil"/>
              <w:bottom w:val="nil"/>
              <w:right w:val="nil"/>
            </w:tcBorders>
            <w:vAlign w:val="bottom"/>
          </w:tcPr>
          <w:p w:rsidR="00626F1B" w:rsidRPr="00AD0652" w:rsidRDefault="00626F1B" w:rsidP="00B972FD"/>
        </w:tc>
        <w:tc>
          <w:tcPr>
            <w:tcW w:w="5330" w:type="dxa"/>
            <w:tcBorders>
              <w:top w:val="nil"/>
              <w:left w:val="nil"/>
              <w:bottom w:val="single" w:sz="4" w:space="0" w:color="auto"/>
              <w:right w:val="nil"/>
            </w:tcBorders>
            <w:vAlign w:val="bottom"/>
          </w:tcPr>
          <w:p w:rsidR="00626F1B" w:rsidRDefault="00626F1B" w:rsidP="00B972FD">
            <w:pPr>
              <w:jc w:val="center"/>
              <w:rPr>
                <w:sz w:val="24"/>
                <w:szCs w:val="24"/>
              </w:rPr>
            </w:pPr>
          </w:p>
        </w:tc>
      </w:tr>
      <w:tr w:rsidR="00626F1B" w:rsidTr="00B972FD">
        <w:trPr>
          <w:cantSplit/>
        </w:trPr>
        <w:tc>
          <w:tcPr>
            <w:tcW w:w="476" w:type="dxa"/>
            <w:tcBorders>
              <w:top w:val="nil"/>
              <w:left w:val="nil"/>
              <w:bottom w:val="nil"/>
              <w:right w:val="nil"/>
            </w:tcBorders>
            <w:vAlign w:val="bottom"/>
          </w:tcPr>
          <w:p w:rsidR="00626F1B" w:rsidRPr="00AD0652" w:rsidRDefault="00626F1B" w:rsidP="00B972FD">
            <w:r w:rsidRPr="00AD0652">
              <w:t>от “</w:t>
            </w:r>
          </w:p>
        </w:tc>
        <w:tc>
          <w:tcPr>
            <w:tcW w:w="391" w:type="dxa"/>
            <w:tcBorders>
              <w:top w:val="nil"/>
              <w:left w:val="nil"/>
              <w:bottom w:val="single" w:sz="4" w:space="0" w:color="auto"/>
              <w:right w:val="nil"/>
            </w:tcBorders>
            <w:vAlign w:val="bottom"/>
          </w:tcPr>
          <w:p w:rsidR="00626F1B" w:rsidRPr="00AD0652" w:rsidRDefault="00363809" w:rsidP="00B972FD">
            <w:pPr>
              <w:jc w:val="center"/>
            </w:pPr>
            <w:r>
              <w:t>08</w:t>
            </w:r>
          </w:p>
        </w:tc>
        <w:tc>
          <w:tcPr>
            <w:tcW w:w="280" w:type="dxa"/>
            <w:tcBorders>
              <w:top w:val="nil"/>
              <w:left w:val="nil"/>
              <w:bottom w:val="nil"/>
              <w:right w:val="nil"/>
            </w:tcBorders>
            <w:vAlign w:val="bottom"/>
          </w:tcPr>
          <w:p w:rsidR="00626F1B" w:rsidRPr="00AD0652" w:rsidRDefault="00626F1B" w:rsidP="00B972FD">
            <w:r w:rsidRPr="00AD0652">
              <w:t>”</w:t>
            </w:r>
          </w:p>
        </w:tc>
        <w:tc>
          <w:tcPr>
            <w:tcW w:w="1195" w:type="dxa"/>
            <w:gridSpan w:val="2"/>
            <w:tcBorders>
              <w:top w:val="nil"/>
              <w:left w:val="nil"/>
              <w:bottom w:val="single" w:sz="4" w:space="0" w:color="auto"/>
              <w:right w:val="nil"/>
            </w:tcBorders>
            <w:vAlign w:val="bottom"/>
          </w:tcPr>
          <w:p w:rsidR="00626F1B" w:rsidRPr="00AD0652" w:rsidRDefault="00A80957" w:rsidP="00B972FD">
            <w:pPr>
              <w:jc w:val="center"/>
            </w:pPr>
            <w:r>
              <w:t>апреля</w:t>
            </w:r>
          </w:p>
        </w:tc>
        <w:tc>
          <w:tcPr>
            <w:tcW w:w="340" w:type="dxa"/>
            <w:tcBorders>
              <w:top w:val="nil"/>
              <w:left w:val="nil"/>
              <w:bottom w:val="nil"/>
              <w:right w:val="nil"/>
            </w:tcBorders>
            <w:vAlign w:val="bottom"/>
          </w:tcPr>
          <w:p w:rsidR="00626F1B" w:rsidRPr="00AD0652" w:rsidRDefault="00626F1B" w:rsidP="00B972FD">
            <w:pPr>
              <w:jc w:val="right"/>
            </w:pPr>
            <w:r w:rsidRPr="00AD0652">
              <w:t>20</w:t>
            </w:r>
          </w:p>
        </w:tc>
        <w:tc>
          <w:tcPr>
            <w:tcW w:w="340" w:type="dxa"/>
            <w:tcBorders>
              <w:top w:val="single" w:sz="4" w:space="0" w:color="auto"/>
              <w:left w:val="nil"/>
              <w:bottom w:val="single" w:sz="4" w:space="0" w:color="auto"/>
              <w:right w:val="nil"/>
            </w:tcBorders>
            <w:vAlign w:val="bottom"/>
          </w:tcPr>
          <w:p w:rsidR="00626F1B" w:rsidRPr="00AD0652" w:rsidRDefault="00A94364" w:rsidP="00B972FD">
            <w:r w:rsidRPr="00AD0652">
              <w:t>16</w:t>
            </w:r>
          </w:p>
        </w:tc>
        <w:tc>
          <w:tcPr>
            <w:tcW w:w="1628" w:type="dxa"/>
            <w:gridSpan w:val="2"/>
            <w:tcBorders>
              <w:top w:val="nil"/>
              <w:left w:val="nil"/>
              <w:bottom w:val="nil"/>
              <w:right w:val="nil"/>
            </w:tcBorders>
            <w:vAlign w:val="bottom"/>
          </w:tcPr>
          <w:p w:rsidR="00626F1B" w:rsidRPr="00AD0652" w:rsidRDefault="00626F1B" w:rsidP="00B972FD">
            <w:pPr>
              <w:ind w:left="57"/>
            </w:pPr>
            <w:r w:rsidRPr="00AD0652">
              <w:t>г.</w:t>
            </w:r>
          </w:p>
        </w:tc>
        <w:tc>
          <w:tcPr>
            <w:tcW w:w="5330" w:type="dxa"/>
            <w:vMerge w:val="restart"/>
            <w:tcBorders>
              <w:top w:val="nil"/>
              <w:left w:val="nil"/>
              <w:bottom w:val="nil"/>
              <w:right w:val="nil"/>
            </w:tcBorders>
          </w:tcPr>
          <w:p w:rsidR="00626F1B" w:rsidRDefault="00626F1B" w:rsidP="00B972FD">
            <w:pPr>
              <w:jc w:val="center"/>
              <w:rPr>
                <w:sz w:val="18"/>
                <w:szCs w:val="18"/>
              </w:rPr>
            </w:pPr>
            <w:r>
              <w:rPr>
                <w:sz w:val="18"/>
                <w:szCs w:val="18"/>
              </w:rPr>
              <w:t>(наименование должности и подпись уполномоченного</w:t>
            </w:r>
            <w:r>
              <w:rPr>
                <w:sz w:val="18"/>
                <w:szCs w:val="18"/>
              </w:rPr>
              <w:br/>
              <w:t xml:space="preserve">лица </w:t>
            </w:r>
            <w:r w:rsidR="00A94364">
              <w:rPr>
                <w:sz w:val="18"/>
                <w:szCs w:val="18"/>
              </w:rPr>
              <w:t>биржи, присвоившей идентификационный номер Программе биржевых облигаций</w:t>
            </w:r>
            <w:r>
              <w:rPr>
                <w:sz w:val="18"/>
                <w:szCs w:val="18"/>
              </w:rPr>
              <w:t>)</w:t>
            </w:r>
          </w:p>
        </w:tc>
      </w:tr>
      <w:tr w:rsidR="00626F1B" w:rsidTr="00B972FD">
        <w:trPr>
          <w:cantSplit/>
        </w:trPr>
        <w:tc>
          <w:tcPr>
            <w:tcW w:w="476" w:type="dxa"/>
            <w:tcBorders>
              <w:top w:val="nil"/>
              <w:left w:val="nil"/>
              <w:bottom w:val="nil"/>
              <w:right w:val="nil"/>
            </w:tcBorders>
          </w:tcPr>
          <w:p w:rsidR="00626F1B" w:rsidRPr="00AD0652" w:rsidRDefault="00626F1B" w:rsidP="00B972FD"/>
        </w:tc>
        <w:tc>
          <w:tcPr>
            <w:tcW w:w="391" w:type="dxa"/>
            <w:tcBorders>
              <w:top w:val="nil"/>
              <w:left w:val="nil"/>
              <w:bottom w:val="nil"/>
              <w:right w:val="nil"/>
            </w:tcBorders>
          </w:tcPr>
          <w:p w:rsidR="00626F1B" w:rsidRPr="00AD0652" w:rsidRDefault="00626F1B" w:rsidP="00B972FD">
            <w:pPr>
              <w:jc w:val="center"/>
            </w:pPr>
          </w:p>
        </w:tc>
        <w:tc>
          <w:tcPr>
            <w:tcW w:w="280" w:type="dxa"/>
            <w:tcBorders>
              <w:top w:val="nil"/>
              <w:left w:val="nil"/>
              <w:bottom w:val="nil"/>
              <w:right w:val="nil"/>
            </w:tcBorders>
          </w:tcPr>
          <w:p w:rsidR="00626F1B" w:rsidRPr="00AD0652" w:rsidRDefault="00626F1B" w:rsidP="00B972FD"/>
        </w:tc>
        <w:tc>
          <w:tcPr>
            <w:tcW w:w="1195" w:type="dxa"/>
            <w:gridSpan w:val="2"/>
            <w:tcBorders>
              <w:top w:val="nil"/>
              <w:left w:val="nil"/>
              <w:bottom w:val="nil"/>
              <w:right w:val="nil"/>
            </w:tcBorders>
          </w:tcPr>
          <w:p w:rsidR="00626F1B" w:rsidRPr="00AD0652" w:rsidRDefault="00626F1B" w:rsidP="00B972FD">
            <w:pPr>
              <w:jc w:val="center"/>
            </w:pPr>
          </w:p>
        </w:tc>
        <w:tc>
          <w:tcPr>
            <w:tcW w:w="340" w:type="dxa"/>
            <w:tcBorders>
              <w:top w:val="nil"/>
              <w:left w:val="nil"/>
              <w:bottom w:val="nil"/>
              <w:right w:val="nil"/>
            </w:tcBorders>
          </w:tcPr>
          <w:p w:rsidR="00626F1B" w:rsidRPr="00AD0652" w:rsidRDefault="00626F1B" w:rsidP="00B972FD">
            <w:pPr>
              <w:jc w:val="right"/>
            </w:pPr>
          </w:p>
        </w:tc>
        <w:tc>
          <w:tcPr>
            <w:tcW w:w="340" w:type="dxa"/>
            <w:tcBorders>
              <w:top w:val="nil"/>
              <w:left w:val="nil"/>
              <w:bottom w:val="nil"/>
              <w:right w:val="nil"/>
            </w:tcBorders>
          </w:tcPr>
          <w:p w:rsidR="00626F1B" w:rsidRPr="00AD0652" w:rsidRDefault="00626F1B" w:rsidP="00B972FD"/>
        </w:tc>
        <w:tc>
          <w:tcPr>
            <w:tcW w:w="1628" w:type="dxa"/>
            <w:gridSpan w:val="2"/>
            <w:tcBorders>
              <w:top w:val="nil"/>
              <w:left w:val="nil"/>
              <w:bottom w:val="nil"/>
              <w:right w:val="nil"/>
            </w:tcBorders>
          </w:tcPr>
          <w:p w:rsidR="00626F1B" w:rsidRPr="00AD0652" w:rsidRDefault="00626F1B" w:rsidP="00B972FD">
            <w:pPr>
              <w:ind w:left="57"/>
            </w:pPr>
          </w:p>
        </w:tc>
        <w:tc>
          <w:tcPr>
            <w:tcW w:w="5330" w:type="dxa"/>
            <w:vMerge/>
            <w:tcBorders>
              <w:top w:val="nil"/>
              <w:left w:val="nil"/>
              <w:bottom w:val="nil"/>
              <w:right w:val="nil"/>
            </w:tcBorders>
          </w:tcPr>
          <w:p w:rsidR="00626F1B" w:rsidRDefault="00626F1B" w:rsidP="00B972FD">
            <w:pPr>
              <w:jc w:val="center"/>
              <w:rPr>
                <w:sz w:val="18"/>
                <w:szCs w:val="18"/>
              </w:rPr>
            </w:pPr>
          </w:p>
        </w:tc>
      </w:tr>
    </w:tbl>
    <w:p w:rsidR="00626F1B" w:rsidRDefault="00626F1B" w:rsidP="00626F1B">
      <w:pPr>
        <w:spacing w:before="240"/>
        <w:ind w:left="4649"/>
        <w:jc w:val="center"/>
        <w:rPr>
          <w:sz w:val="18"/>
          <w:szCs w:val="18"/>
        </w:rPr>
      </w:pPr>
      <w:r>
        <w:rPr>
          <w:sz w:val="18"/>
          <w:szCs w:val="18"/>
        </w:rPr>
        <w:t xml:space="preserve">Печать </w:t>
      </w:r>
    </w:p>
    <w:p w:rsidR="004C4720" w:rsidRPr="00E82CE3" w:rsidRDefault="004C4720" w:rsidP="00626F1B">
      <w:pPr>
        <w:spacing w:before="480"/>
        <w:jc w:val="center"/>
        <w:rPr>
          <w:b/>
          <w:bCs/>
          <w:sz w:val="44"/>
          <w:szCs w:val="44"/>
        </w:rPr>
      </w:pPr>
    </w:p>
    <w:p w:rsidR="00626F1B" w:rsidRPr="00AB4AEE" w:rsidRDefault="00626F1B" w:rsidP="00626F1B">
      <w:pPr>
        <w:spacing w:before="480"/>
        <w:jc w:val="center"/>
        <w:rPr>
          <w:b/>
          <w:bCs/>
          <w:sz w:val="44"/>
          <w:szCs w:val="44"/>
        </w:rPr>
      </w:pPr>
      <w:r w:rsidRPr="00AB4AEE">
        <w:rPr>
          <w:b/>
          <w:bCs/>
          <w:sz w:val="44"/>
          <w:szCs w:val="44"/>
        </w:rPr>
        <w:t>ПРОСПЕКТ ЦЕННЫХ БУМАГ</w:t>
      </w:r>
    </w:p>
    <w:p w:rsidR="00626F1B" w:rsidRPr="00E82CE3" w:rsidRDefault="00626F1B" w:rsidP="00626F1B">
      <w:pPr>
        <w:jc w:val="center"/>
        <w:rPr>
          <w:sz w:val="24"/>
          <w:szCs w:val="24"/>
        </w:rPr>
      </w:pPr>
    </w:p>
    <w:p w:rsidR="004C4720" w:rsidRPr="00E82CE3" w:rsidRDefault="004C4720" w:rsidP="00626F1B">
      <w:pPr>
        <w:jc w:val="center"/>
        <w:rPr>
          <w:sz w:val="24"/>
          <w:szCs w:val="24"/>
        </w:rPr>
      </w:pPr>
    </w:p>
    <w:p w:rsidR="000135D9" w:rsidRPr="000135D9" w:rsidRDefault="000135D9" w:rsidP="00626F1B">
      <w:pPr>
        <w:jc w:val="center"/>
        <w:rPr>
          <w:i/>
          <w:sz w:val="32"/>
          <w:szCs w:val="32"/>
        </w:rPr>
      </w:pPr>
      <w:r w:rsidRPr="000135D9">
        <w:rPr>
          <w:rStyle w:val="a6"/>
          <w:rFonts w:ascii="Arial" w:hAnsi="Arial" w:cs="Arial"/>
          <w:i/>
          <w:color w:val="000000"/>
          <w:sz w:val="32"/>
          <w:szCs w:val="32"/>
          <w:shd w:val="clear" w:color="auto" w:fill="FFFFFF"/>
        </w:rPr>
        <w:t xml:space="preserve">Закрытое акционерное общество Специализированное Строительно-Монтажное Объединение </w:t>
      </w:r>
      <w:r>
        <w:rPr>
          <w:rStyle w:val="a6"/>
          <w:rFonts w:ascii="Arial" w:hAnsi="Arial" w:cs="Arial"/>
          <w:i/>
          <w:color w:val="000000"/>
          <w:sz w:val="32"/>
          <w:szCs w:val="32"/>
          <w:shd w:val="clear" w:color="auto" w:fill="FFFFFF"/>
        </w:rPr>
        <w:t>«</w:t>
      </w:r>
      <w:r w:rsidRPr="000135D9">
        <w:rPr>
          <w:rStyle w:val="a6"/>
          <w:rFonts w:ascii="Arial" w:hAnsi="Arial" w:cs="Arial"/>
          <w:i/>
          <w:color w:val="000000"/>
          <w:sz w:val="32"/>
          <w:szCs w:val="32"/>
          <w:shd w:val="clear" w:color="auto" w:fill="FFFFFF"/>
        </w:rPr>
        <w:t>ЛенСпецСМУ</w:t>
      </w:r>
      <w:r>
        <w:rPr>
          <w:rStyle w:val="a6"/>
          <w:rFonts w:ascii="Arial" w:hAnsi="Arial" w:cs="Arial"/>
          <w:i/>
          <w:color w:val="000000"/>
          <w:sz w:val="32"/>
          <w:szCs w:val="32"/>
          <w:shd w:val="clear" w:color="auto" w:fill="FFFFFF"/>
        </w:rPr>
        <w:t>»</w:t>
      </w:r>
    </w:p>
    <w:p w:rsidR="000135D9" w:rsidRPr="00E82CE3" w:rsidRDefault="000135D9" w:rsidP="00626F1B">
      <w:pPr>
        <w:jc w:val="center"/>
        <w:rPr>
          <w:sz w:val="24"/>
          <w:szCs w:val="24"/>
        </w:rPr>
      </w:pPr>
    </w:p>
    <w:p w:rsidR="004C4720" w:rsidRPr="00E82CE3" w:rsidRDefault="004C4720" w:rsidP="00626F1B">
      <w:pPr>
        <w:jc w:val="center"/>
        <w:rPr>
          <w:sz w:val="24"/>
          <w:szCs w:val="24"/>
        </w:rPr>
      </w:pPr>
    </w:p>
    <w:p w:rsidR="00A80957" w:rsidRPr="00A80957" w:rsidRDefault="00A80957" w:rsidP="00A80957">
      <w:pPr>
        <w:pStyle w:val="Default"/>
        <w:jc w:val="center"/>
        <w:rPr>
          <w:rFonts w:ascii="Arial" w:hAnsi="Arial" w:cs="Arial"/>
          <w:b/>
          <w:bCs/>
          <w:i/>
          <w:sz w:val="22"/>
          <w:szCs w:val="22"/>
        </w:rPr>
      </w:pPr>
      <w:r w:rsidRPr="00A80957">
        <w:rPr>
          <w:rFonts w:ascii="Arial" w:hAnsi="Arial" w:cs="Arial"/>
          <w:b/>
          <w:bCs/>
          <w:i/>
          <w:sz w:val="22"/>
          <w:szCs w:val="22"/>
        </w:rPr>
        <w:t>неконвертируемые процентные документарные биржевые облигации на предъявителя с обязательным централизованным хранением общей номинальной стоимостью всех выпусков биржевых облигаций, размещаемых по открытой подписке в рамках программы биржевых облигаций, не более 15 000 000 000 (Пятнадцати миллиардов) рублей включительно и со сроком погашения не более чем в 3 640 (Три тысячи шестьсот сороковой) день с даты начала размещения биржевых облигаций отдельного выпуска, размещаемого в рамках программы биржевых облигаций</w:t>
      </w:r>
    </w:p>
    <w:p w:rsidR="00A80957" w:rsidRPr="00A80957" w:rsidRDefault="00A80957" w:rsidP="00A80957">
      <w:pPr>
        <w:pStyle w:val="Default"/>
        <w:jc w:val="center"/>
        <w:rPr>
          <w:rFonts w:ascii="Arial" w:hAnsi="Arial" w:cs="Arial"/>
          <w:b/>
          <w:bCs/>
          <w:i/>
          <w:sz w:val="22"/>
          <w:szCs w:val="22"/>
        </w:rPr>
      </w:pPr>
    </w:p>
    <w:p w:rsidR="00A80957" w:rsidRPr="00A80957" w:rsidRDefault="00A80957" w:rsidP="00A80957">
      <w:pPr>
        <w:pStyle w:val="Default"/>
        <w:jc w:val="center"/>
        <w:rPr>
          <w:rFonts w:ascii="Arial" w:hAnsi="Arial" w:cs="Arial"/>
          <w:b/>
          <w:bCs/>
          <w:i/>
          <w:sz w:val="22"/>
          <w:szCs w:val="22"/>
        </w:rPr>
      </w:pPr>
      <w:r w:rsidRPr="00A80957">
        <w:rPr>
          <w:rFonts w:ascii="Arial" w:hAnsi="Arial" w:cs="Arial"/>
          <w:b/>
          <w:bCs/>
          <w:i/>
          <w:sz w:val="22"/>
          <w:szCs w:val="22"/>
        </w:rPr>
        <w:t>Программа биржевых облигаций серии 001P</w:t>
      </w:r>
    </w:p>
    <w:p w:rsidR="00015FDE" w:rsidRPr="00E82CE3" w:rsidRDefault="00015FDE" w:rsidP="00015FDE">
      <w:pPr>
        <w:spacing w:before="0" w:after="0"/>
        <w:ind w:firstLine="567"/>
        <w:jc w:val="center"/>
        <w:rPr>
          <w:sz w:val="28"/>
          <w:szCs w:val="28"/>
        </w:rPr>
      </w:pPr>
    </w:p>
    <w:p w:rsidR="004C4720" w:rsidRPr="00E82CE3" w:rsidRDefault="004C4720" w:rsidP="00015FDE">
      <w:pPr>
        <w:spacing w:before="0" w:after="0"/>
        <w:ind w:firstLine="567"/>
        <w:jc w:val="center"/>
        <w:rPr>
          <w:sz w:val="28"/>
          <w:szCs w:val="28"/>
        </w:rPr>
      </w:pPr>
    </w:p>
    <w:p w:rsidR="00626F1B" w:rsidRDefault="00626F1B" w:rsidP="00015FDE">
      <w:pPr>
        <w:spacing w:before="0" w:after="0"/>
        <w:ind w:firstLine="567"/>
        <w:jc w:val="center"/>
        <w:rPr>
          <w:sz w:val="28"/>
          <w:szCs w:val="28"/>
        </w:rPr>
      </w:pPr>
      <w:r>
        <w:rPr>
          <w:sz w:val="28"/>
          <w:szCs w:val="28"/>
        </w:rPr>
        <w:t>Информация, содержащаяся в настоящем проспекте ценных бумаг,</w:t>
      </w:r>
      <w:r w:rsidR="00015FDE">
        <w:rPr>
          <w:sz w:val="28"/>
          <w:szCs w:val="28"/>
        </w:rPr>
        <w:t xml:space="preserve"> </w:t>
      </w:r>
      <w:r>
        <w:rPr>
          <w:sz w:val="28"/>
          <w:szCs w:val="28"/>
        </w:rPr>
        <w:t>подлежит раскрытию в соответствии с законодательством</w:t>
      </w:r>
      <w:r w:rsidR="00015FDE">
        <w:rPr>
          <w:sz w:val="28"/>
          <w:szCs w:val="28"/>
        </w:rPr>
        <w:t xml:space="preserve"> </w:t>
      </w:r>
      <w:r>
        <w:rPr>
          <w:sz w:val="28"/>
          <w:szCs w:val="28"/>
        </w:rPr>
        <w:t>Российской Федерации о ценных бумагах.</w:t>
      </w:r>
    </w:p>
    <w:p w:rsidR="00015FDE" w:rsidRPr="00E82CE3" w:rsidRDefault="00015FDE" w:rsidP="00015FDE">
      <w:pPr>
        <w:pStyle w:val="Default"/>
      </w:pPr>
    </w:p>
    <w:p w:rsidR="004C4720" w:rsidRPr="00E82CE3" w:rsidRDefault="004C4720" w:rsidP="00015FDE">
      <w:pPr>
        <w:pStyle w:val="Default"/>
      </w:pPr>
    </w:p>
    <w:p w:rsidR="004C4720" w:rsidRPr="00E82CE3" w:rsidRDefault="004C4720" w:rsidP="00015FDE">
      <w:pPr>
        <w:pStyle w:val="Default"/>
      </w:pPr>
    </w:p>
    <w:p w:rsidR="00626F1B" w:rsidRDefault="00015FDE" w:rsidP="00E069A1">
      <w:pPr>
        <w:spacing w:before="0" w:after="0"/>
        <w:ind w:firstLine="567"/>
        <w:jc w:val="center"/>
        <w:rPr>
          <w:sz w:val="32"/>
          <w:szCs w:val="32"/>
        </w:rPr>
      </w:pPr>
      <w:r>
        <w:rPr>
          <w:sz w:val="32"/>
          <w:szCs w:val="32"/>
        </w:rPr>
        <w:lastRenderedPageBreak/>
        <w:t xml:space="preserve">БИРЖА, ПРИНЯВШАЯ РЕШЕНИЕ О ПРИСВОЕНИИ ИДЕНТИФИКАЦИОННОГО НОМЕРА ПРОГРАММЕ БИРЖЕВЫХ ОБЛИГАЦИЙ, НЕ ОТВЕЧАЕТ ЗА ДОСТОВЕРНОСТЬ ИНФОРМАЦИИ, СОДЕРЖАЩЕЙСЯ В ДАННОМ ПРОСПЕКТЕ ЦЕННЫХ БУМАГ, И ФАКТОМ ПРИСВОЕНИЯ ИДЕНТИФИКАЦИОННОГО НОМЕРА ПРОГРАММЕ БИРЖЕВЫХ ОБЛИГАЦИЙ НЕ ВЫРАЖАЕТ СВОЕГО ОТНОШЕНИЯ К РАЗМЕЩАЕМЫМ ЦЕННЫМ </w:t>
      </w:r>
      <w:r w:rsidR="00E069A1">
        <w:rPr>
          <w:sz w:val="32"/>
          <w:szCs w:val="32"/>
        </w:rPr>
        <w:t>БУМАГАМ</w:t>
      </w:r>
    </w:p>
    <w:p w:rsidR="00E069A1" w:rsidRDefault="00E069A1" w:rsidP="00E069A1">
      <w:pPr>
        <w:spacing w:before="0" w:after="0"/>
        <w:ind w:firstLine="567"/>
        <w:jc w:val="center"/>
        <w:rPr>
          <w:sz w:val="32"/>
          <w:szCs w:val="32"/>
        </w:rPr>
      </w:pPr>
    </w:p>
    <w:tbl>
      <w:tblPr>
        <w:tblW w:w="9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0"/>
        <w:gridCol w:w="142"/>
        <w:gridCol w:w="335"/>
        <w:gridCol w:w="238"/>
        <w:gridCol w:w="1559"/>
        <w:gridCol w:w="316"/>
        <w:gridCol w:w="321"/>
        <w:gridCol w:w="2617"/>
        <w:gridCol w:w="289"/>
        <w:gridCol w:w="1276"/>
        <w:gridCol w:w="283"/>
        <w:gridCol w:w="1843"/>
        <w:gridCol w:w="142"/>
      </w:tblGrid>
      <w:tr w:rsidR="00626F1B" w:rsidTr="00E069A1">
        <w:trPr>
          <w:cantSplit/>
          <w:trHeight w:val="420"/>
        </w:trPr>
        <w:tc>
          <w:tcPr>
            <w:tcW w:w="170" w:type="dxa"/>
            <w:tcBorders>
              <w:bottom w:val="nil"/>
              <w:right w:val="nil"/>
            </w:tcBorders>
            <w:vAlign w:val="bottom"/>
          </w:tcPr>
          <w:p w:rsidR="00626F1B" w:rsidRDefault="00626F1B" w:rsidP="00B972FD">
            <w:pPr>
              <w:ind w:left="57"/>
              <w:rPr>
                <w:sz w:val="24"/>
                <w:szCs w:val="24"/>
              </w:rPr>
            </w:pPr>
          </w:p>
        </w:tc>
        <w:tc>
          <w:tcPr>
            <w:tcW w:w="5528" w:type="dxa"/>
            <w:gridSpan w:val="7"/>
            <w:tcBorders>
              <w:left w:val="nil"/>
              <w:bottom w:val="nil"/>
              <w:right w:val="nil"/>
            </w:tcBorders>
            <w:vAlign w:val="bottom"/>
          </w:tcPr>
          <w:p w:rsidR="00626F1B" w:rsidRDefault="00E069A1" w:rsidP="00E069A1">
            <w:pPr>
              <w:jc w:val="both"/>
              <w:rPr>
                <w:sz w:val="18"/>
                <w:szCs w:val="18"/>
              </w:rPr>
            </w:pPr>
            <w:r w:rsidRPr="00E069A1">
              <w:rPr>
                <w:sz w:val="24"/>
                <w:szCs w:val="24"/>
              </w:rPr>
              <w:t>Генеральный директор Закрытого акционерного общества Специализированного Строительно-Монтажное Объединения «ЛенСпецСМУ»</w:t>
            </w:r>
          </w:p>
        </w:tc>
        <w:tc>
          <w:tcPr>
            <w:tcW w:w="289" w:type="dxa"/>
            <w:tcBorders>
              <w:left w:val="nil"/>
              <w:bottom w:val="nil"/>
              <w:right w:val="nil"/>
            </w:tcBorders>
            <w:vAlign w:val="bottom"/>
          </w:tcPr>
          <w:p w:rsidR="00626F1B" w:rsidRDefault="00626F1B" w:rsidP="00B972FD">
            <w:pPr>
              <w:rPr>
                <w:sz w:val="24"/>
                <w:szCs w:val="24"/>
              </w:rPr>
            </w:pPr>
          </w:p>
        </w:tc>
        <w:tc>
          <w:tcPr>
            <w:tcW w:w="1276" w:type="dxa"/>
            <w:tcBorders>
              <w:left w:val="nil"/>
              <w:right w:val="nil"/>
            </w:tcBorders>
            <w:vAlign w:val="bottom"/>
          </w:tcPr>
          <w:p w:rsidR="00626F1B" w:rsidRDefault="00626F1B" w:rsidP="00B972FD">
            <w:pPr>
              <w:jc w:val="center"/>
              <w:rPr>
                <w:sz w:val="24"/>
                <w:szCs w:val="24"/>
              </w:rPr>
            </w:pPr>
          </w:p>
        </w:tc>
        <w:tc>
          <w:tcPr>
            <w:tcW w:w="283" w:type="dxa"/>
            <w:tcBorders>
              <w:left w:val="nil"/>
              <w:bottom w:val="nil"/>
              <w:right w:val="nil"/>
            </w:tcBorders>
            <w:vAlign w:val="bottom"/>
          </w:tcPr>
          <w:p w:rsidR="00626F1B" w:rsidRDefault="00626F1B" w:rsidP="00B972FD">
            <w:pPr>
              <w:rPr>
                <w:sz w:val="24"/>
                <w:szCs w:val="24"/>
              </w:rPr>
            </w:pPr>
          </w:p>
        </w:tc>
        <w:tc>
          <w:tcPr>
            <w:tcW w:w="1843" w:type="dxa"/>
            <w:tcBorders>
              <w:left w:val="nil"/>
              <w:right w:val="nil"/>
            </w:tcBorders>
            <w:vAlign w:val="bottom"/>
          </w:tcPr>
          <w:p w:rsidR="00626F1B" w:rsidRDefault="00E069A1" w:rsidP="00B972FD">
            <w:pPr>
              <w:jc w:val="center"/>
              <w:rPr>
                <w:sz w:val="24"/>
                <w:szCs w:val="24"/>
              </w:rPr>
            </w:pPr>
            <w:r>
              <w:rPr>
                <w:sz w:val="24"/>
                <w:szCs w:val="24"/>
              </w:rPr>
              <w:t>Г.Ф. Щербина</w:t>
            </w:r>
          </w:p>
        </w:tc>
        <w:tc>
          <w:tcPr>
            <w:tcW w:w="142" w:type="dxa"/>
            <w:tcBorders>
              <w:left w:val="nil"/>
              <w:bottom w:val="nil"/>
            </w:tcBorders>
            <w:vAlign w:val="bottom"/>
          </w:tcPr>
          <w:p w:rsidR="00626F1B" w:rsidRDefault="00626F1B" w:rsidP="00B972FD">
            <w:pPr>
              <w:rPr>
                <w:sz w:val="24"/>
                <w:szCs w:val="24"/>
              </w:rPr>
            </w:pPr>
          </w:p>
        </w:tc>
      </w:tr>
      <w:tr w:rsidR="00626F1B" w:rsidTr="00E069A1">
        <w:trPr>
          <w:cantSplit/>
        </w:trPr>
        <w:tc>
          <w:tcPr>
            <w:tcW w:w="312" w:type="dxa"/>
            <w:gridSpan w:val="2"/>
            <w:tcBorders>
              <w:top w:val="nil"/>
              <w:bottom w:val="nil"/>
              <w:right w:val="nil"/>
            </w:tcBorders>
            <w:vAlign w:val="bottom"/>
          </w:tcPr>
          <w:p w:rsidR="00626F1B" w:rsidRPr="00E069A1" w:rsidRDefault="00626F1B" w:rsidP="00E069A1">
            <w:pPr>
              <w:jc w:val="both"/>
              <w:rPr>
                <w:sz w:val="24"/>
                <w:szCs w:val="24"/>
              </w:rPr>
            </w:pPr>
            <w:r w:rsidRPr="00E069A1">
              <w:rPr>
                <w:sz w:val="24"/>
                <w:szCs w:val="24"/>
              </w:rPr>
              <w:t>“</w:t>
            </w:r>
          </w:p>
        </w:tc>
        <w:tc>
          <w:tcPr>
            <w:tcW w:w="335" w:type="dxa"/>
            <w:tcBorders>
              <w:top w:val="nil"/>
              <w:left w:val="nil"/>
              <w:right w:val="nil"/>
            </w:tcBorders>
            <w:vAlign w:val="bottom"/>
          </w:tcPr>
          <w:p w:rsidR="00626F1B" w:rsidRPr="00E069A1" w:rsidRDefault="00B300E4" w:rsidP="00B972FD">
            <w:pPr>
              <w:jc w:val="center"/>
              <w:rPr>
                <w:sz w:val="24"/>
                <w:szCs w:val="24"/>
              </w:rPr>
            </w:pPr>
            <w:r>
              <w:rPr>
                <w:sz w:val="24"/>
                <w:szCs w:val="24"/>
              </w:rPr>
              <w:t>14</w:t>
            </w:r>
          </w:p>
        </w:tc>
        <w:tc>
          <w:tcPr>
            <w:tcW w:w="238" w:type="dxa"/>
            <w:tcBorders>
              <w:top w:val="nil"/>
              <w:left w:val="nil"/>
              <w:bottom w:val="nil"/>
              <w:right w:val="nil"/>
            </w:tcBorders>
            <w:vAlign w:val="bottom"/>
          </w:tcPr>
          <w:p w:rsidR="00626F1B" w:rsidRPr="00E069A1" w:rsidRDefault="00626F1B" w:rsidP="00B972FD">
            <w:pPr>
              <w:rPr>
                <w:sz w:val="24"/>
                <w:szCs w:val="24"/>
              </w:rPr>
            </w:pPr>
            <w:r w:rsidRPr="00E069A1">
              <w:rPr>
                <w:sz w:val="24"/>
                <w:szCs w:val="24"/>
              </w:rPr>
              <w:t>”</w:t>
            </w:r>
          </w:p>
        </w:tc>
        <w:tc>
          <w:tcPr>
            <w:tcW w:w="1559" w:type="dxa"/>
            <w:tcBorders>
              <w:top w:val="nil"/>
              <w:left w:val="nil"/>
              <w:right w:val="nil"/>
            </w:tcBorders>
            <w:vAlign w:val="bottom"/>
          </w:tcPr>
          <w:p w:rsidR="00626F1B" w:rsidRPr="00E069A1" w:rsidRDefault="00A80957" w:rsidP="00B972FD">
            <w:pPr>
              <w:jc w:val="center"/>
              <w:rPr>
                <w:sz w:val="24"/>
                <w:szCs w:val="24"/>
              </w:rPr>
            </w:pPr>
            <w:r>
              <w:rPr>
                <w:sz w:val="24"/>
                <w:szCs w:val="24"/>
              </w:rPr>
              <w:t>апреля</w:t>
            </w:r>
          </w:p>
        </w:tc>
        <w:tc>
          <w:tcPr>
            <w:tcW w:w="316" w:type="dxa"/>
            <w:tcBorders>
              <w:top w:val="nil"/>
              <w:left w:val="nil"/>
              <w:bottom w:val="nil"/>
              <w:right w:val="nil"/>
            </w:tcBorders>
            <w:vAlign w:val="bottom"/>
          </w:tcPr>
          <w:p w:rsidR="00626F1B" w:rsidRPr="00E069A1" w:rsidRDefault="00626F1B" w:rsidP="00B972FD">
            <w:pPr>
              <w:jc w:val="right"/>
              <w:rPr>
                <w:sz w:val="24"/>
                <w:szCs w:val="24"/>
              </w:rPr>
            </w:pPr>
            <w:r w:rsidRPr="00E069A1">
              <w:rPr>
                <w:sz w:val="24"/>
                <w:szCs w:val="24"/>
              </w:rPr>
              <w:t>20</w:t>
            </w:r>
          </w:p>
        </w:tc>
        <w:tc>
          <w:tcPr>
            <w:tcW w:w="321" w:type="dxa"/>
            <w:tcBorders>
              <w:top w:val="nil"/>
              <w:left w:val="nil"/>
              <w:right w:val="nil"/>
            </w:tcBorders>
            <w:vAlign w:val="bottom"/>
          </w:tcPr>
          <w:p w:rsidR="00626F1B" w:rsidRPr="00E069A1" w:rsidRDefault="00E069A1" w:rsidP="00B972FD">
            <w:pPr>
              <w:rPr>
                <w:sz w:val="24"/>
                <w:szCs w:val="24"/>
              </w:rPr>
            </w:pPr>
            <w:r w:rsidRPr="00E069A1">
              <w:rPr>
                <w:sz w:val="24"/>
                <w:szCs w:val="24"/>
              </w:rPr>
              <w:t>16</w:t>
            </w:r>
          </w:p>
        </w:tc>
        <w:tc>
          <w:tcPr>
            <w:tcW w:w="2906" w:type="dxa"/>
            <w:gridSpan w:val="2"/>
            <w:tcBorders>
              <w:top w:val="nil"/>
              <w:left w:val="nil"/>
              <w:bottom w:val="nil"/>
              <w:right w:val="nil"/>
            </w:tcBorders>
            <w:vAlign w:val="bottom"/>
          </w:tcPr>
          <w:p w:rsidR="00626F1B" w:rsidRPr="00E069A1" w:rsidRDefault="00626F1B" w:rsidP="00B972FD">
            <w:pPr>
              <w:ind w:left="57"/>
              <w:rPr>
                <w:sz w:val="24"/>
                <w:szCs w:val="24"/>
              </w:rPr>
            </w:pPr>
            <w:r w:rsidRPr="00E069A1">
              <w:rPr>
                <w:sz w:val="24"/>
                <w:szCs w:val="24"/>
              </w:rPr>
              <w:t>г.</w:t>
            </w:r>
          </w:p>
        </w:tc>
        <w:tc>
          <w:tcPr>
            <w:tcW w:w="1276" w:type="dxa"/>
            <w:tcBorders>
              <w:left w:val="nil"/>
              <w:bottom w:val="nil"/>
              <w:right w:val="nil"/>
            </w:tcBorders>
          </w:tcPr>
          <w:p w:rsidR="00626F1B" w:rsidRDefault="00626F1B" w:rsidP="00B972FD">
            <w:pPr>
              <w:jc w:val="center"/>
              <w:rPr>
                <w:sz w:val="18"/>
                <w:szCs w:val="18"/>
              </w:rPr>
            </w:pPr>
            <w:r>
              <w:rPr>
                <w:sz w:val="18"/>
                <w:szCs w:val="18"/>
              </w:rPr>
              <w:t>подпись</w:t>
            </w:r>
          </w:p>
        </w:tc>
        <w:tc>
          <w:tcPr>
            <w:tcW w:w="283" w:type="dxa"/>
            <w:tcBorders>
              <w:top w:val="nil"/>
              <w:left w:val="nil"/>
              <w:bottom w:val="nil"/>
              <w:right w:val="nil"/>
            </w:tcBorders>
          </w:tcPr>
          <w:p w:rsidR="00626F1B" w:rsidRDefault="00626F1B" w:rsidP="00B972FD">
            <w:pPr>
              <w:rPr>
                <w:sz w:val="18"/>
                <w:szCs w:val="18"/>
              </w:rPr>
            </w:pPr>
          </w:p>
        </w:tc>
        <w:tc>
          <w:tcPr>
            <w:tcW w:w="1843" w:type="dxa"/>
            <w:tcBorders>
              <w:left w:val="nil"/>
              <w:bottom w:val="nil"/>
              <w:right w:val="nil"/>
            </w:tcBorders>
          </w:tcPr>
          <w:p w:rsidR="00626F1B" w:rsidRDefault="00626F1B" w:rsidP="00B972FD">
            <w:pPr>
              <w:jc w:val="center"/>
              <w:rPr>
                <w:sz w:val="18"/>
                <w:szCs w:val="18"/>
              </w:rPr>
            </w:pPr>
            <w:r>
              <w:rPr>
                <w:sz w:val="18"/>
                <w:szCs w:val="18"/>
              </w:rPr>
              <w:t>И.О. Фамилия</w:t>
            </w:r>
          </w:p>
        </w:tc>
        <w:tc>
          <w:tcPr>
            <w:tcW w:w="142" w:type="dxa"/>
            <w:tcBorders>
              <w:top w:val="nil"/>
              <w:left w:val="nil"/>
              <w:bottom w:val="nil"/>
            </w:tcBorders>
            <w:vAlign w:val="bottom"/>
          </w:tcPr>
          <w:p w:rsidR="00626F1B" w:rsidRDefault="00626F1B" w:rsidP="00B972FD"/>
        </w:tc>
      </w:tr>
      <w:tr w:rsidR="00626F1B" w:rsidTr="00E069A1">
        <w:trPr>
          <w:cantSplit/>
          <w:trHeight w:val="420"/>
        </w:trPr>
        <w:tc>
          <w:tcPr>
            <w:tcW w:w="170" w:type="dxa"/>
            <w:tcBorders>
              <w:top w:val="nil"/>
              <w:bottom w:val="nil"/>
              <w:right w:val="nil"/>
            </w:tcBorders>
            <w:vAlign w:val="bottom"/>
          </w:tcPr>
          <w:p w:rsidR="00626F1B" w:rsidRDefault="00626F1B" w:rsidP="00B972FD">
            <w:pPr>
              <w:ind w:left="57"/>
              <w:rPr>
                <w:sz w:val="24"/>
                <w:szCs w:val="24"/>
              </w:rPr>
            </w:pPr>
          </w:p>
        </w:tc>
        <w:tc>
          <w:tcPr>
            <w:tcW w:w="5528" w:type="dxa"/>
            <w:gridSpan w:val="7"/>
            <w:tcBorders>
              <w:top w:val="nil"/>
              <w:left w:val="nil"/>
              <w:bottom w:val="nil"/>
              <w:right w:val="nil"/>
            </w:tcBorders>
            <w:vAlign w:val="bottom"/>
          </w:tcPr>
          <w:p w:rsidR="00E069A1" w:rsidRDefault="00E069A1" w:rsidP="00B972FD">
            <w:pPr>
              <w:rPr>
                <w:sz w:val="18"/>
                <w:szCs w:val="18"/>
              </w:rPr>
            </w:pPr>
          </w:p>
          <w:p w:rsidR="00626F1B" w:rsidRDefault="00E069A1" w:rsidP="00E069A1">
            <w:pPr>
              <w:jc w:val="both"/>
              <w:rPr>
                <w:sz w:val="18"/>
                <w:szCs w:val="18"/>
              </w:rPr>
            </w:pPr>
            <w:r w:rsidRPr="00E069A1">
              <w:rPr>
                <w:sz w:val="24"/>
                <w:szCs w:val="24"/>
              </w:rPr>
              <w:t>Главный бухгалтер Закрытого акционерного общества Специализированного Строительно-Монтажное Объединения «ЛенСпецСМУ»</w:t>
            </w:r>
          </w:p>
        </w:tc>
        <w:tc>
          <w:tcPr>
            <w:tcW w:w="289" w:type="dxa"/>
            <w:tcBorders>
              <w:top w:val="nil"/>
              <w:left w:val="nil"/>
              <w:bottom w:val="nil"/>
              <w:right w:val="nil"/>
            </w:tcBorders>
            <w:vAlign w:val="bottom"/>
          </w:tcPr>
          <w:p w:rsidR="00626F1B" w:rsidRDefault="00626F1B" w:rsidP="00B972FD">
            <w:pPr>
              <w:rPr>
                <w:sz w:val="24"/>
                <w:szCs w:val="24"/>
              </w:rPr>
            </w:pPr>
          </w:p>
        </w:tc>
        <w:tc>
          <w:tcPr>
            <w:tcW w:w="1276" w:type="dxa"/>
            <w:tcBorders>
              <w:top w:val="nil"/>
              <w:left w:val="nil"/>
              <w:right w:val="nil"/>
            </w:tcBorders>
            <w:vAlign w:val="bottom"/>
          </w:tcPr>
          <w:p w:rsidR="00626F1B" w:rsidRDefault="00626F1B" w:rsidP="00B972FD">
            <w:pPr>
              <w:jc w:val="center"/>
              <w:rPr>
                <w:sz w:val="24"/>
                <w:szCs w:val="24"/>
              </w:rPr>
            </w:pPr>
          </w:p>
        </w:tc>
        <w:tc>
          <w:tcPr>
            <w:tcW w:w="283" w:type="dxa"/>
            <w:tcBorders>
              <w:top w:val="nil"/>
              <w:left w:val="nil"/>
              <w:bottom w:val="nil"/>
              <w:right w:val="nil"/>
            </w:tcBorders>
            <w:vAlign w:val="bottom"/>
          </w:tcPr>
          <w:p w:rsidR="00626F1B" w:rsidRDefault="00626F1B" w:rsidP="00B972FD">
            <w:pPr>
              <w:rPr>
                <w:sz w:val="24"/>
                <w:szCs w:val="24"/>
              </w:rPr>
            </w:pPr>
          </w:p>
        </w:tc>
        <w:tc>
          <w:tcPr>
            <w:tcW w:w="1843" w:type="dxa"/>
            <w:tcBorders>
              <w:top w:val="nil"/>
              <w:left w:val="nil"/>
              <w:right w:val="nil"/>
            </w:tcBorders>
            <w:vAlign w:val="bottom"/>
          </w:tcPr>
          <w:p w:rsidR="00626F1B" w:rsidRDefault="003F029F" w:rsidP="00B972FD">
            <w:pPr>
              <w:jc w:val="center"/>
              <w:rPr>
                <w:sz w:val="24"/>
                <w:szCs w:val="24"/>
              </w:rPr>
            </w:pPr>
            <w:r>
              <w:rPr>
                <w:sz w:val="24"/>
                <w:szCs w:val="24"/>
              </w:rPr>
              <w:t>Е.В. Ушакова</w:t>
            </w:r>
          </w:p>
        </w:tc>
        <w:tc>
          <w:tcPr>
            <w:tcW w:w="142" w:type="dxa"/>
            <w:tcBorders>
              <w:top w:val="nil"/>
              <w:left w:val="nil"/>
              <w:bottom w:val="nil"/>
            </w:tcBorders>
            <w:vAlign w:val="bottom"/>
          </w:tcPr>
          <w:p w:rsidR="00626F1B" w:rsidRDefault="00626F1B" w:rsidP="00B972FD">
            <w:pPr>
              <w:rPr>
                <w:sz w:val="24"/>
                <w:szCs w:val="24"/>
              </w:rPr>
            </w:pPr>
          </w:p>
        </w:tc>
      </w:tr>
      <w:tr w:rsidR="00626F1B" w:rsidTr="00E069A1">
        <w:trPr>
          <w:cantSplit/>
        </w:trPr>
        <w:tc>
          <w:tcPr>
            <w:tcW w:w="170" w:type="dxa"/>
            <w:tcBorders>
              <w:top w:val="nil"/>
              <w:bottom w:val="nil"/>
              <w:right w:val="nil"/>
            </w:tcBorders>
            <w:vAlign w:val="bottom"/>
          </w:tcPr>
          <w:p w:rsidR="00626F1B" w:rsidRDefault="00626F1B" w:rsidP="00B972FD">
            <w:pPr>
              <w:ind w:left="57"/>
              <w:rPr>
                <w:sz w:val="18"/>
                <w:szCs w:val="18"/>
              </w:rPr>
            </w:pPr>
          </w:p>
        </w:tc>
        <w:tc>
          <w:tcPr>
            <w:tcW w:w="5528" w:type="dxa"/>
            <w:gridSpan w:val="7"/>
            <w:tcBorders>
              <w:top w:val="nil"/>
              <w:left w:val="nil"/>
              <w:bottom w:val="nil"/>
              <w:right w:val="nil"/>
            </w:tcBorders>
          </w:tcPr>
          <w:p w:rsidR="00626F1B" w:rsidRDefault="00626F1B" w:rsidP="00B972FD">
            <w:pPr>
              <w:rPr>
                <w:sz w:val="18"/>
                <w:szCs w:val="18"/>
              </w:rPr>
            </w:pPr>
          </w:p>
        </w:tc>
        <w:tc>
          <w:tcPr>
            <w:tcW w:w="289" w:type="dxa"/>
            <w:tcBorders>
              <w:top w:val="nil"/>
              <w:left w:val="nil"/>
              <w:bottom w:val="nil"/>
              <w:right w:val="nil"/>
            </w:tcBorders>
          </w:tcPr>
          <w:p w:rsidR="00626F1B" w:rsidRDefault="00626F1B" w:rsidP="00B972FD">
            <w:pPr>
              <w:rPr>
                <w:sz w:val="18"/>
                <w:szCs w:val="18"/>
              </w:rPr>
            </w:pPr>
          </w:p>
        </w:tc>
        <w:tc>
          <w:tcPr>
            <w:tcW w:w="1276" w:type="dxa"/>
            <w:tcBorders>
              <w:top w:val="nil"/>
              <w:left w:val="nil"/>
              <w:bottom w:val="nil"/>
              <w:right w:val="nil"/>
            </w:tcBorders>
          </w:tcPr>
          <w:p w:rsidR="00626F1B" w:rsidRDefault="00626F1B" w:rsidP="00B972FD">
            <w:pPr>
              <w:jc w:val="center"/>
              <w:rPr>
                <w:sz w:val="18"/>
                <w:szCs w:val="18"/>
              </w:rPr>
            </w:pPr>
            <w:r>
              <w:rPr>
                <w:sz w:val="18"/>
                <w:szCs w:val="18"/>
              </w:rPr>
              <w:t>подпись</w:t>
            </w:r>
          </w:p>
        </w:tc>
        <w:tc>
          <w:tcPr>
            <w:tcW w:w="283" w:type="dxa"/>
            <w:tcBorders>
              <w:top w:val="nil"/>
              <w:left w:val="nil"/>
              <w:bottom w:val="nil"/>
              <w:right w:val="nil"/>
            </w:tcBorders>
          </w:tcPr>
          <w:p w:rsidR="00626F1B" w:rsidRDefault="00626F1B" w:rsidP="00B972FD">
            <w:pPr>
              <w:rPr>
                <w:sz w:val="18"/>
                <w:szCs w:val="18"/>
              </w:rPr>
            </w:pPr>
          </w:p>
        </w:tc>
        <w:tc>
          <w:tcPr>
            <w:tcW w:w="1843" w:type="dxa"/>
            <w:tcBorders>
              <w:top w:val="nil"/>
              <w:left w:val="nil"/>
              <w:bottom w:val="nil"/>
              <w:right w:val="nil"/>
            </w:tcBorders>
          </w:tcPr>
          <w:p w:rsidR="00626F1B" w:rsidRDefault="00626F1B" w:rsidP="00B972FD">
            <w:pPr>
              <w:jc w:val="center"/>
              <w:rPr>
                <w:sz w:val="18"/>
                <w:szCs w:val="18"/>
              </w:rPr>
            </w:pPr>
            <w:r>
              <w:rPr>
                <w:sz w:val="18"/>
                <w:szCs w:val="18"/>
              </w:rPr>
              <w:t>И.О. Фамилия</w:t>
            </w:r>
          </w:p>
        </w:tc>
        <w:tc>
          <w:tcPr>
            <w:tcW w:w="142" w:type="dxa"/>
            <w:tcBorders>
              <w:top w:val="nil"/>
              <w:left w:val="nil"/>
              <w:bottom w:val="nil"/>
            </w:tcBorders>
          </w:tcPr>
          <w:p w:rsidR="00626F1B" w:rsidRDefault="00626F1B" w:rsidP="00B972FD">
            <w:pPr>
              <w:rPr>
                <w:sz w:val="18"/>
                <w:szCs w:val="18"/>
              </w:rPr>
            </w:pPr>
          </w:p>
        </w:tc>
      </w:tr>
      <w:tr w:rsidR="00626F1B" w:rsidTr="00E069A1">
        <w:trPr>
          <w:cantSplit/>
        </w:trPr>
        <w:tc>
          <w:tcPr>
            <w:tcW w:w="312" w:type="dxa"/>
            <w:gridSpan w:val="2"/>
            <w:tcBorders>
              <w:top w:val="nil"/>
              <w:bottom w:val="nil"/>
              <w:right w:val="nil"/>
            </w:tcBorders>
            <w:vAlign w:val="bottom"/>
          </w:tcPr>
          <w:p w:rsidR="00626F1B" w:rsidRDefault="00626F1B" w:rsidP="00B972FD">
            <w:pPr>
              <w:ind w:left="57"/>
              <w:jc w:val="right"/>
            </w:pPr>
            <w:r>
              <w:t>“</w:t>
            </w:r>
          </w:p>
        </w:tc>
        <w:tc>
          <w:tcPr>
            <w:tcW w:w="335" w:type="dxa"/>
            <w:tcBorders>
              <w:top w:val="nil"/>
              <w:left w:val="nil"/>
              <w:right w:val="nil"/>
            </w:tcBorders>
            <w:vAlign w:val="bottom"/>
          </w:tcPr>
          <w:p w:rsidR="00626F1B" w:rsidRPr="00E069A1" w:rsidRDefault="00B300E4" w:rsidP="00B972FD">
            <w:pPr>
              <w:jc w:val="center"/>
              <w:rPr>
                <w:sz w:val="24"/>
                <w:szCs w:val="24"/>
              </w:rPr>
            </w:pPr>
            <w:r>
              <w:rPr>
                <w:sz w:val="24"/>
                <w:szCs w:val="24"/>
              </w:rPr>
              <w:t>14</w:t>
            </w:r>
          </w:p>
        </w:tc>
        <w:tc>
          <w:tcPr>
            <w:tcW w:w="238" w:type="dxa"/>
            <w:tcBorders>
              <w:top w:val="nil"/>
              <w:left w:val="nil"/>
              <w:bottom w:val="nil"/>
              <w:right w:val="nil"/>
            </w:tcBorders>
            <w:vAlign w:val="bottom"/>
          </w:tcPr>
          <w:p w:rsidR="00626F1B" w:rsidRPr="00E069A1" w:rsidRDefault="00626F1B" w:rsidP="00B972FD">
            <w:pPr>
              <w:rPr>
                <w:sz w:val="24"/>
                <w:szCs w:val="24"/>
              </w:rPr>
            </w:pPr>
            <w:r w:rsidRPr="00E069A1">
              <w:rPr>
                <w:sz w:val="24"/>
                <w:szCs w:val="24"/>
              </w:rPr>
              <w:t>”</w:t>
            </w:r>
          </w:p>
        </w:tc>
        <w:tc>
          <w:tcPr>
            <w:tcW w:w="1559" w:type="dxa"/>
            <w:tcBorders>
              <w:top w:val="nil"/>
              <w:left w:val="nil"/>
              <w:right w:val="nil"/>
            </w:tcBorders>
            <w:vAlign w:val="bottom"/>
          </w:tcPr>
          <w:p w:rsidR="00626F1B" w:rsidRPr="00E069A1" w:rsidRDefault="00A80957" w:rsidP="00B972FD">
            <w:pPr>
              <w:jc w:val="center"/>
              <w:rPr>
                <w:sz w:val="24"/>
                <w:szCs w:val="24"/>
              </w:rPr>
            </w:pPr>
            <w:r>
              <w:rPr>
                <w:sz w:val="24"/>
                <w:szCs w:val="24"/>
              </w:rPr>
              <w:t>апреля</w:t>
            </w:r>
          </w:p>
        </w:tc>
        <w:tc>
          <w:tcPr>
            <w:tcW w:w="316" w:type="dxa"/>
            <w:tcBorders>
              <w:top w:val="nil"/>
              <w:left w:val="nil"/>
              <w:bottom w:val="nil"/>
              <w:right w:val="nil"/>
            </w:tcBorders>
            <w:vAlign w:val="bottom"/>
          </w:tcPr>
          <w:p w:rsidR="00626F1B" w:rsidRPr="00E069A1" w:rsidRDefault="00626F1B" w:rsidP="00B972FD">
            <w:pPr>
              <w:jc w:val="right"/>
              <w:rPr>
                <w:sz w:val="24"/>
                <w:szCs w:val="24"/>
              </w:rPr>
            </w:pPr>
            <w:r w:rsidRPr="00E069A1">
              <w:rPr>
                <w:sz w:val="24"/>
                <w:szCs w:val="24"/>
              </w:rPr>
              <w:t>20</w:t>
            </w:r>
          </w:p>
        </w:tc>
        <w:tc>
          <w:tcPr>
            <w:tcW w:w="321" w:type="dxa"/>
            <w:tcBorders>
              <w:top w:val="nil"/>
              <w:left w:val="nil"/>
              <w:right w:val="nil"/>
            </w:tcBorders>
            <w:vAlign w:val="bottom"/>
          </w:tcPr>
          <w:p w:rsidR="00626F1B" w:rsidRPr="00E069A1" w:rsidRDefault="00E069A1" w:rsidP="00B972FD">
            <w:pPr>
              <w:rPr>
                <w:sz w:val="24"/>
                <w:szCs w:val="24"/>
              </w:rPr>
            </w:pPr>
            <w:r w:rsidRPr="00E069A1">
              <w:rPr>
                <w:sz w:val="24"/>
                <w:szCs w:val="24"/>
              </w:rPr>
              <w:t>16</w:t>
            </w:r>
          </w:p>
        </w:tc>
        <w:tc>
          <w:tcPr>
            <w:tcW w:w="6450" w:type="dxa"/>
            <w:gridSpan w:val="6"/>
            <w:tcBorders>
              <w:top w:val="nil"/>
              <w:left w:val="nil"/>
              <w:bottom w:val="nil"/>
            </w:tcBorders>
            <w:vAlign w:val="bottom"/>
          </w:tcPr>
          <w:p w:rsidR="00626F1B" w:rsidRPr="00E069A1" w:rsidRDefault="00626F1B" w:rsidP="00B972FD">
            <w:pPr>
              <w:tabs>
                <w:tab w:val="left" w:pos="3799"/>
              </w:tabs>
              <w:ind w:left="57"/>
              <w:rPr>
                <w:sz w:val="24"/>
                <w:szCs w:val="24"/>
              </w:rPr>
            </w:pPr>
            <w:r w:rsidRPr="00E069A1">
              <w:rPr>
                <w:sz w:val="24"/>
                <w:szCs w:val="24"/>
              </w:rPr>
              <w:t>г.</w:t>
            </w:r>
            <w:r w:rsidRPr="00E069A1">
              <w:rPr>
                <w:sz w:val="24"/>
                <w:szCs w:val="24"/>
              </w:rPr>
              <w:tab/>
              <w:t>М.П.</w:t>
            </w:r>
          </w:p>
        </w:tc>
      </w:tr>
      <w:tr w:rsidR="00626F1B" w:rsidTr="00E069A1">
        <w:tblPrEx>
          <w:tblBorders>
            <w:top w:val="none" w:sz="0" w:space="0" w:color="auto"/>
            <w:insideH w:val="none" w:sz="0" w:space="0" w:color="auto"/>
            <w:insideV w:val="none" w:sz="0" w:space="0" w:color="auto"/>
          </w:tblBorders>
        </w:tblPrEx>
        <w:trPr>
          <w:cantSplit/>
        </w:trPr>
        <w:tc>
          <w:tcPr>
            <w:tcW w:w="9531" w:type="dxa"/>
            <w:gridSpan w:val="13"/>
            <w:tcBorders>
              <w:top w:val="nil"/>
              <w:bottom w:val="single" w:sz="4" w:space="0" w:color="auto"/>
            </w:tcBorders>
            <w:vAlign w:val="bottom"/>
          </w:tcPr>
          <w:p w:rsidR="00626F1B" w:rsidRDefault="00626F1B" w:rsidP="00B972FD">
            <w:pPr>
              <w:rPr>
                <w:sz w:val="24"/>
                <w:szCs w:val="24"/>
              </w:rPr>
            </w:pPr>
          </w:p>
        </w:tc>
      </w:tr>
    </w:tbl>
    <w:p w:rsidR="00626F1B" w:rsidRDefault="00626F1B">
      <w:pPr>
        <w:widowControl/>
        <w:autoSpaceDE/>
        <w:autoSpaceDN/>
        <w:adjustRightInd/>
        <w:spacing w:before="0" w:after="200" w:line="276" w:lineRule="auto"/>
      </w:pPr>
      <w:r>
        <w:br w:type="page"/>
      </w:r>
    </w:p>
    <w:p w:rsidR="00616EF7" w:rsidRDefault="00616EF7" w:rsidP="004D589C">
      <w:pPr>
        <w:pStyle w:val="1"/>
        <w:jc w:val="center"/>
      </w:pPr>
      <w:bookmarkStart w:id="2" w:name="_Toc442784609"/>
      <w:bookmarkStart w:id="3" w:name="_Toc448251110"/>
      <w:r>
        <w:lastRenderedPageBreak/>
        <w:t>Оглавление</w:t>
      </w:r>
      <w:bookmarkEnd w:id="2"/>
      <w:bookmarkEnd w:id="3"/>
    </w:p>
    <w:p w:rsidR="008B6061" w:rsidRDefault="00501E4F" w:rsidP="008B6061">
      <w:pPr>
        <w:pStyle w:val="12"/>
        <w:rPr>
          <w:rFonts w:eastAsiaTheme="minorEastAsia" w:cstheme="minorBidi"/>
          <w:sz w:val="22"/>
          <w:szCs w:val="22"/>
        </w:rPr>
      </w:pPr>
      <w:r>
        <w:rPr>
          <w:rFonts w:ascii="Times New Roman" w:hAnsi="Times New Roman"/>
          <w:sz w:val="22"/>
          <w:szCs w:val="22"/>
          <w:u w:val="single"/>
        </w:rPr>
        <w:fldChar w:fldCharType="begin"/>
      </w:r>
      <w:r>
        <w:rPr>
          <w:rFonts w:ascii="Times New Roman" w:hAnsi="Times New Roman"/>
          <w:sz w:val="22"/>
          <w:szCs w:val="22"/>
          <w:u w:val="single"/>
        </w:rPr>
        <w:instrText xml:space="preserve"> TOC \o "1-4" \h \z \u </w:instrText>
      </w:r>
      <w:r>
        <w:rPr>
          <w:rFonts w:ascii="Times New Roman" w:hAnsi="Times New Roman"/>
          <w:sz w:val="22"/>
          <w:szCs w:val="22"/>
          <w:u w:val="single"/>
        </w:rPr>
        <w:fldChar w:fldCharType="separate"/>
      </w:r>
      <w:hyperlink w:anchor="_Toc448251110" w:history="1">
        <w:r w:rsidR="008B6061" w:rsidRPr="0041705A">
          <w:rPr>
            <w:rStyle w:val="aa"/>
          </w:rPr>
          <w:t>Оглавление</w:t>
        </w:r>
        <w:r w:rsidR="008B6061">
          <w:rPr>
            <w:webHidden/>
          </w:rPr>
          <w:tab/>
        </w:r>
        <w:r w:rsidR="008B6061">
          <w:rPr>
            <w:webHidden/>
          </w:rPr>
          <w:fldChar w:fldCharType="begin"/>
        </w:r>
        <w:r w:rsidR="008B6061">
          <w:rPr>
            <w:webHidden/>
          </w:rPr>
          <w:instrText xml:space="preserve"> PAGEREF _Toc448251110 \h </w:instrText>
        </w:r>
        <w:r w:rsidR="008B6061">
          <w:rPr>
            <w:webHidden/>
          </w:rPr>
        </w:r>
        <w:r w:rsidR="008B6061">
          <w:rPr>
            <w:webHidden/>
          </w:rPr>
          <w:fldChar w:fldCharType="separate"/>
        </w:r>
        <w:r w:rsidR="00156D5A">
          <w:rPr>
            <w:webHidden/>
          </w:rPr>
          <w:t>3</w:t>
        </w:r>
        <w:r w:rsidR="008B6061">
          <w:rPr>
            <w:webHidden/>
          </w:rPr>
          <w:fldChar w:fldCharType="end"/>
        </w:r>
      </w:hyperlink>
    </w:p>
    <w:p w:rsidR="008B6061" w:rsidRDefault="00967F08" w:rsidP="008B6061">
      <w:pPr>
        <w:pStyle w:val="12"/>
        <w:rPr>
          <w:rFonts w:eastAsiaTheme="minorEastAsia" w:cstheme="minorBidi"/>
          <w:sz w:val="22"/>
          <w:szCs w:val="22"/>
        </w:rPr>
      </w:pPr>
      <w:hyperlink w:anchor="_Toc448251111" w:history="1">
        <w:r w:rsidR="008B6061" w:rsidRPr="0041705A">
          <w:rPr>
            <w:rStyle w:val="aa"/>
          </w:rPr>
          <w:t>Введение</w:t>
        </w:r>
        <w:r w:rsidR="008B6061">
          <w:rPr>
            <w:webHidden/>
          </w:rPr>
          <w:tab/>
        </w:r>
        <w:r w:rsidR="008B6061">
          <w:rPr>
            <w:webHidden/>
          </w:rPr>
          <w:fldChar w:fldCharType="begin"/>
        </w:r>
        <w:r w:rsidR="008B6061">
          <w:rPr>
            <w:webHidden/>
          </w:rPr>
          <w:instrText xml:space="preserve"> PAGEREF _Toc448251111 \h </w:instrText>
        </w:r>
        <w:r w:rsidR="008B6061">
          <w:rPr>
            <w:webHidden/>
          </w:rPr>
        </w:r>
        <w:r w:rsidR="008B6061">
          <w:rPr>
            <w:webHidden/>
          </w:rPr>
          <w:fldChar w:fldCharType="separate"/>
        </w:r>
        <w:r w:rsidR="00156D5A">
          <w:rPr>
            <w:webHidden/>
          </w:rPr>
          <w:t>8</w:t>
        </w:r>
        <w:r w:rsidR="008B6061">
          <w:rPr>
            <w:webHidden/>
          </w:rPr>
          <w:fldChar w:fldCharType="end"/>
        </w:r>
      </w:hyperlink>
    </w:p>
    <w:p w:rsidR="008B6061" w:rsidRDefault="00967F08" w:rsidP="008B6061">
      <w:pPr>
        <w:pStyle w:val="12"/>
        <w:rPr>
          <w:rFonts w:eastAsiaTheme="minorEastAsia" w:cstheme="minorBidi"/>
          <w:sz w:val="22"/>
          <w:szCs w:val="22"/>
        </w:rPr>
      </w:pPr>
      <w:hyperlink w:anchor="_Toc448251112" w:history="1">
        <w:r w:rsidR="008B6061" w:rsidRPr="0041705A">
          <w:rPr>
            <w:rStyle w:val="aa"/>
          </w:rPr>
          <w:t>Раздел I. Сведения о банковских счетах, об аудиторе (аудиторской организации), оценщике и о финансовом консультанте эмитента, а также об иных лицах, подписавших проспект ценных бумаг</w:t>
        </w:r>
        <w:r w:rsidR="008B6061">
          <w:rPr>
            <w:webHidden/>
          </w:rPr>
          <w:tab/>
        </w:r>
        <w:r w:rsidR="008B6061">
          <w:rPr>
            <w:webHidden/>
          </w:rPr>
          <w:fldChar w:fldCharType="begin"/>
        </w:r>
        <w:r w:rsidR="008B6061">
          <w:rPr>
            <w:webHidden/>
          </w:rPr>
          <w:instrText xml:space="preserve"> PAGEREF _Toc448251112 \h </w:instrText>
        </w:r>
        <w:r w:rsidR="008B6061">
          <w:rPr>
            <w:webHidden/>
          </w:rPr>
        </w:r>
        <w:r w:rsidR="008B6061">
          <w:rPr>
            <w:webHidden/>
          </w:rPr>
          <w:fldChar w:fldCharType="separate"/>
        </w:r>
        <w:r w:rsidR="00156D5A">
          <w:rPr>
            <w:webHidden/>
          </w:rPr>
          <w:t>12</w:t>
        </w:r>
        <w:r w:rsidR="008B6061">
          <w:rPr>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13" w:history="1">
        <w:r w:rsidR="008B6061" w:rsidRPr="0041705A">
          <w:rPr>
            <w:rStyle w:val="aa"/>
            <w:b/>
            <w:i/>
            <w:noProof/>
          </w:rPr>
          <w:t>1.1. Сведения о банковских счетах эмитента</w:t>
        </w:r>
        <w:r w:rsidR="008B6061">
          <w:rPr>
            <w:noProof/>
            <w:webHidden/>
          </w:rPr>
          <w:tab/>
        </w:r>
        <w:r w:rsidR="008B6061">
          <w:rPr>
            <w:noProof/>
            <w:webHidden/>
          </w:rPr>
          <w:fldChar w:fldCharType="begin"/>
        </w:r>
        <w:r w:rsidR="008B6061">
          <w:rPr>
            <w:noProof/>
            <w:webHidden/>
          </w:rPr>
          <w:instrText xml:space="preserve"> PAGEREF _Toc448251113 \h </w:instrText>
        </w:r>
        <w:r w:rsidR="008B6061">
          <w:rPr>
            <w:noProof/>
            <w:webHidden/>
          </w:rPr>
        </w:r>
        <w:r w:rsidR="008B6061">
          <w:rPr>
            <w:noProof/>
            <w:webHidden/>
          </w:rPr>
          <w:fldChar w:fldCharType="separate"/>
        </w:r>
        <w:r w:rsidR="00156D5A">
          <w:rPr>
            <w:noProof/>
            <w:webHidden/>
          </w:rPr>
          <w:t>12</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14" w:history="1">
        <w:r w:rsidR="008B6061" w:rsidRPr="0041705A">
          <w:rPr>
            <w:rStyle w:val="aa"/>
            <w:b/>
            <w:i/>
            <w:noProof/>
          </w:rPr>
          <w:t>1.2. Сведения об аудиторе (аудиторской организации) эмитента</w:t>
        </w:r>
        <w:r w:rsidR="008B6061">
          <w:rPr>
            <w:noProof/>
            <w:webHidden/>
          </w:rPr>
          <w:tab/>
        </w:r>
        <w:r w:rsidR="008B6061">
          <w:rPr>
            <w:noProof/>
            <w:webHidden/>
          </w:rPr>
          <w:fldChar w:fldCharType="begin"/>
        </w:r>
        <w:r w:rsidR="008B6061">
          <w:rPr>
            <w:noProof/>
            <w:webHidden/>
          </w:rPr>
          <w:instrText xml:space="preserve"> PAGEREF _Toc448251114 \h </w:instrText>
        </w:r>
        <w:r w:rsidR="008B6061">
          <w:rPr>
            <w:noProof/>
            <w:webHidden/>
          </w:rPr>
        </w:r>
        <w:r w:rsidR="008B6061">
          <w:rPr>
            <w:noProof/>
            <w:webHidden/>
          </w:rPr>
          <w:fldChar w:fldCharType="separate"/>
        </w:r>
        <w:r w:rsidR="00156D5A">
          <w:rPr>
            <w:noProof/>
            <w:webHidden/>
          </w:rPr>
          <w:t>12</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15" w:history="1">
        <w:r w:rsidR="008B6061" w:rsidRPr="0041705A">
          <w:rPr>
            <w:rStyle w:val="aa"/>
            <w:b/>
            <w:i/>
            <w:noProof/>
          </w:rPr>
          <w:t>1.3. Сведения об оценщике эмитента</w:t>
        </w:r>
        <w:r w:rsidR="008B6061">
          <w:rPr>
            <w:noProof/>
            <w:webHidden/>
          </w:rPr>
          <w:tab/>
        </w:r>
        <w:r w:rsidR="008B6061">
          <w:rPr>
            <w:noProof/>
            <w:webHidden/>
          </w:rPr>
          <w:fldChar w:fldCharType="begin"/>
        </w:r>
        <w:r w:rsidR="008B6061">
          <w:rPr>
            <w:noProof/>
            <w:webHidden/>
          </w:rPr>
          <w:instrText xml:space="preserve"> PAGEREF _Toc448251115 \h </w:instrText>
        </w:r>
        <w:r w:rsidR="008B6061">
          <w:rPr>
            <w:noProof/>
            <w:webHidden/>
          </w:rPr>
        </w:r>
        <w:r w:rsidR="008B6061">
          <w:rPr>
            <w:noProof/>
            <w:webHidden/>
          </w:rPr>
          <w:fldChar w:fldCharType="separate"/>
        </w:r>
        <w:r w:rsidR="00156D5A">
          <w:rPr>
            <w:noProof/>
            <w:webHidden/>
          </w:rPr>
          <w:t>18</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16" w:history="1">
        <w:r w:rsidR="008B6061" w:rsidRPr="0041705A">
          <w:rPr>
            <w:rStyle w:val="aa"/>
            <w:b/>
            <w:i/>
            <w:noProof/>
          </w:rPr>
          <w:t>1.4. Сведения о консультантах эмитента</w:t>
        </w:r>
        <w:r w:rsidR="008B6061">
          <w:rPr>
            <w:noProof/>
            <w:webHidden/>
          </w:rPr>
          <w:tab/>
        </w:r>
        <w:r w:rsidR="008B6061">
          <w:rPr>
            <w:noProof/>
            <w:webHidden/>
          </w:rPr>
          <w:fldChar w:fldCharType="begin"/>
        </w:r>
        <w:r w:rsidR="008B6061">
          <w:rPr>
            <w:noProof/>
            <w:webHidden/>
          </w:rPr>
          <w:instrText xml:space="preserve"> PAGEREF _Toc448251116 \h </w:instrText>
        </w:r>
        <w:r w:rsidR="008B6061">
          <w:rPr>
            <w:noProof/>
            <w:webHidden/>
          </w:rPr>
        </w:r>
        <w:r w:rsidR="008B6061">
          <w:rPr>
            <w:noProof/>
            <w:webHidden/>
          </w:rPr>
          <w:fldChar w:fldCharType="separate"/>
        </w:r>
        <w:r w:rsidR="00156D5A">
          <w:rPr>
            <w:noProof/>
            <w:webHidden/>
          </w:rPr>
          <w:t>19</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17" w:history="1">
        <w:r w:rsidR="008B6061" w:rsidRPr="0041705A">
          <w:rPr>
            <w:rStyle w:val="aa"/>
            <w:b/>
            <w:i/>
            <w:noProof/>
          </w:rPr>
          <w:t>1.5. Сведения об иных лицах, подписавших проспект ценных бумаг</w:t>
        </w:r>
        <w:r w:rsidR="008B6061">
          <w:rPr>
            <w:noProof/>
            <w:webHidden/>
          </w:rPr>
          <w:tab/>
        </w:r>
        <w:r w:rsidR="008B6061">
          <w:rPr>
            <w:noProof/>
            <w:webHidden/>
          </w:rPr>
          <w:fldChar w:fldCharType="begin"/>
        </w:r>
        <w:r w:rsidR="008B6061">
          <w:rPr>
            <w:noProof/>
            <w:webHidden/>
          </w:rPr>
          <w:instrText xml:space="preserve"> PAGEREF _Toc448251117 \h </w:instrText>
        </w:r>
        <w:r w:rsidR="008B6061">
          <w:rPr>
            <w:noProof/>
            <w:webHidden/>
          </w:rPr>
        </w:r>
        <w:r w:rsidR="008B6061">
          <w:rPr>
            <w:noProof/>
            <w:webHidden/>
          </w:rPr>
          <w:fldChar w:fldCharType="separate"/>
        </w:r>
        <w:r w:rsidR="00156D5A">
          <w:rPr>
            <w:noProof/>
            <w:webHidden/>
          </w:rPr>
          <w:t>19</w:t>
        </w:r>
        <w:r w:rsidR="008B6061">
          <w:rPr>
            <w:noProof/>
            <w:webHidden/>
          </w:rPr>
          <w:fldChar w:fldCharType="end"/>
        </w:r>
      </w:hyperlink>
    </w:p>
    <w:p w:rsidR="008B6061" w:rsidRDefault="00967F08" w:rsidP="008B6061">
      <w:pPr>
        <w:pStyle w:val="12"/>
        <w:rPr>
          <w:rFonts w:eastAsiaTheme="minorEastAsia" w:cstheme="minorBidi"/>
          <w:sz w:val="22"/>
          <w:szCs w:val="22"/>
        </w:rPr>
      </w:pPr>
      <w:hyperlink w:anchor="_Toc448251118" w:history="1">
        <w:r w:rsidR="008B6061" w:rsidRPr="0041705A">
          <w:rPr>
            <w:rStyle w:val="aa"/>
          </w:rPr>
          <w:t>Раздел II. Основная информация о финансово-экономическом состоянии эмитента</w:t>
        </w:r>
        <w:r w:rsidR="008B6061">
          <w:rPr>
            <w:webHidden/>
          </w:rPr>
          <w:tab/>
        </w:r>
        <w:r w:rsidR="008B6061">
          <w:rPr>
            <w:webHidden/>
          </w:rPr>
          <w:fldChar w:fldCharType="begin"/>
        </w:r>
        <w:r w:rsidR="008B6061">
          <w:rPr>
            <w:webHidden/>
          </w:rPr>
          <w:instrText xml:space="preserve"> PAGEREF _Toc448251118 \h </w:instrText>
        </w:r>
        <w:r w:rsidR="008B6061">
          <w:rPr>
            <w:webHidden/>
          </w:rPr>
        </w:r>
        <w:r w:rsidR="008B6061">
          <w:rPr>
            <w:webHidden/>
          </w:rPr>
          <w:fldChar w:fldCharType="separate"/>
        </w:r>
        <w:r w:rsidR="00156D5A">
          <w:rPr>
            <w:webHidden/>
          </w:rPr>
          <w:t>20</w:t>
        </w:r>
        <w:r w:rsidR="008B6061">
          <w:rPr>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19" w:history="1">
        <w:r w:rsidR="008B6061" w:rsidRPr="0041705A">
          <w:rPr>
            <w:rStyle w:val="aa"/>
            <w:b/>
            <w:i/>
            <w:noProof/>
          </w:rPr>
          <w:t>2.1. Показатели финансово-экономической деятельности эмитента</w:t>
        </w:r>
        <w:r w:rsidR="008B6061">
          <w:rPr>
            <w:noProof/>
            <w:webHidden/>
          </w:rPr>
          <w:tab/>
        </w:r>
        <w:r w:rsidR="008B6061">
          <w:rPr>
            <w:noProof/>
            <w:webHidden/>
          </w:rPr>
          <w:fldChar w:fldCharType="begin"/>
        </w:r>
        <w:r w:rsidR="008B6061">
          <w:rPr>
            <w:noProof/>
            <w:webHidden/>
          </w:rPr>
          <w:instrText xml:space="preserve"> PAGEREF _Toc448251119 \h </w:instrText>
        </w:r>
        <w:r w:rsidR="008B6061">
          <w:rPr>
            <w:noProof/>
            <w:webHidden/>
          </w:rPr>
        </w:r>
        <w:r w:rsidR="008B6061">
          <w:rPr>
            <w:noProof/>
            <w:webHidden/>
          </w:rPr>
          <w:fldChar w:fldCharType="separate"/>
        </w:r>
        <w:r w:rsidR="00156D5A">
          <w:rPr>
            <w:noProof/>
            <w:webHidden/>
          </w:rPr>
          <w:t>20</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20" w:history="1">
        <w:r w:rsidR="008B6061" w:rsidRPr="0041705A">
          <w:rPr>
            <w:rStyle w:val="aa"/>
            <w:b/>
            <w:i/>
            <w:noProof/>
          </w:rPr>
          <w:t>2.2. Рыночная капитализация эмитента</w:t>
        </w:r>
        <w:r w:rsidR="008B6061">
          <w:rPr>
            <w:noProof/>
            <w:webHidden/>
          </w:rPr>
          <w:tab/>
        </w:r>
        <w:r w:rsidR="008B6061">
          <w:rPr>
            <w:noProof/>
            <w:webHidden/>
          </w:rPr>
          <w:fldChar w:fldCharType="begin"/>
        </w:r>
        <w:r w:rsidR="008B6061">
          <w:rPr>
            <w:noProof/>
            <w:webHidden/>
          </w:rPr>
          <w:instrText xml:space="preserve"> PAGEREF _Toc448251120 \h </w:instrText>
        </w:r>
        <w:r w:rsidR="008B6061">
          <w:rPr>
            <w:noProof/>
            <w:webHidden/>
          </w:rPr>
        </w:r>
        <w:r w:rsidR="008B6061">
          <w:rPr>
            <w:noProof/>
            <w:webHidden/>
          </w:rPr>
          <w:fldChar w:fldCharType="separate"/>
        </w:r>
        <w:r w:rsidR="00156D5A">
          <w:rPr>
            <w:noProof/>
            <w:webHidden/>
          </w:rPr>
          <w:t>20</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21" w:history="1">
        <w:r w:rsidR="008B6061" w:rsidRPr="0041705A">
          <w:rPr>
            <w:rStyle w:val="aa"/>
            <w:b/>
            <w:i/>
            <w:noProof/>
          </w:rPr>
          <w:t>2.3. Обязательства эмитента</w:t>
        </w:r>
        <w:r w:rsidR="008B6061">
          <w:rPr>
            <w:noProof/>
            <w:webHidden/>
          </w:rPr>
          <w:tab/>
        </w:r>
        <w:r w:rsidR="008B6061">
          <w:rPr>
            <w:noProof/>
            <w:webHidden/>
          </w:rPr>
          <w:fldChar w:fldCharType="begin"/>
        </w:r>
        <w:r w:rsidR="008B6061">
          <w:rPr>
            <w:noProof/>
            <w:webHidden/>
          </w:rPr>
          <w:instrText xml:space="preserve"> PAGEREF _Toc448251121 \h </w:instrText>
        </w:r>
        <w:r w:rsidR="008B6061">
          <w:rPr>
            <w:noProof/>
            <w:webHidden/>
          </w:rPr>
        </w:r>
        <w:r w:rsidR="008B6061">
          <w:rPr>
            <w:noProof/>
            <w:webHidden/>
          </w:rPr>
          <w:fldChar w:fldCharType="separate"/>
        </w:r>
        <w:r w:rsidR="00156D5A">
          <w:rPr>
            <w:noProof/>
            <w:webHidden/>
          </w:rPr>
          <w:t>20</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122" w:history="1">
        <w:r w:rsidR="008B6061" w:rsidRPr="0041705A">
          <w:rPr>
            <w:rStyle w:val="aa"/>
            <w:b/>
            <w:noProof/>
          </w:rPr>
          <w:t>2.3.1. Заемные средства и кредиторская задолженность</w:t>
        </w:r>
        <w:r w:rsidR="008B6061">
          <w:rPr>
            <w:noProof/>
            <w:webHidden/>
          </w:rPr>
          <w:tab/>
        </w:r>
        <w:r w:rsidR="008B6061">
          <w:rPr>
            <w:noProof/>
            <w:webHidden/>
          </w:rPr>
          <w:fldChar w:fldCharType="begin"/>
        </w:r>
        <w:r w:rsidR="008B6061">
          <w:rPr>
            <w:noProof/>
            <w:webHidden/>
          </w:rPr>
          <w:instrText xml:space="preserve"> PAGEREF _Toc448251122 \h </w:instrText>
        </w:r>
        <w:r w:rsidR="008B6061">
          <w:rPr>
            <w:noProof/>
            <w:webHidden/>
          </w:rPr>
        </w:r>
        <w:r w:rsidR="008B6061">
          <w:rPr>
            <w:noProof/>
            <w:webHidden/>
          </w:rPr>
          <w:fldChar w:fldCharType="separate"/>
        </w:r>
        <w:r w:rsidR="00156D5A">
          <w:rPr>
            <w:noProof/>
            <w:webHidden/>
          </w:rPr>
          <w:t>20</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123" w:history="1">
        <w:r w:rsidR="008B6061" w:rsidRPr="0041705A">
          <w:rPr>
            <w:rStyle w:val="aa"/>
            <w:b/>
            <w:noProof/>
          </w:rPr>
          <w:t>2.3.2. Кредитная история эмитента</w:t>
        </w:r>
        <w:r w:rsidR="008B6061">
          <w:rPr>
            <w:noProof/>
            <w:webHidden/>
          </w:rPr>
          <w:tab/>
        </w:r>
        <w:r w:rsidR="008B6061">
          <w:rPr>
            <w:noProof/>
            <w:webHidden/>
          </w:rPr>
          <w:fldChar w:fldCharType="begin"/>
        </w:r>
        <w:r w:rsidR="008B6061">
          <w:rPr>
            <w:noProof/>
            <w:webHidden/>
          </w:rPr>
          <w:instrText xml:space="preserve"> PAGEREF _Toc448251123 \h </w:instrText>
        </w:r>
        <w:r w:rsidR="008B6061">
          <w:rPr>
            <w:noProof/>
            <w:webHidden/>
          </w:rPr>
        </w:r>
        <w:r w:rsidR="008B6061">
          <w:rPr>
            <w:noProof/>
            <w:webHidden/>
          </w:rPr>
          <w:fldChar w:fldCharType="separate"/>
        </w:r>
        <w:r w:rsidR="00156D5A">
          <w:rPr>
            <w:noProof/>
            <w:webHidden/>
          </w:rPr>
          <w:t>20</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124" w:history="1">
        <w:r w:rsidR="008B6061" w:rsidRPr="0041705A">
          <w:rPr>
            <w:rStyle w:val="aa"/>
            <w:b/>
            <w:noProof/>
          </w:rPr>
          <w:t>2.3.3. Обязательства эмитента из предоставленного им обеспечения</w:t>
        </w:r>
        <w:r w:rsidR="008B6061">
          <w:rPr>
            <w:noProof/>
            <w:webHidden/>
          </w:rPr>
          <w:tab/>
        </w:r>
        <w:r w:rsidR="008B6061">
          <w:rPr>
            <w:noProof/>
            <w:webHidden/>
          </w:rPr>
          <w:fldChar w:fldCharType="begin"/>
        </w:r>
        <w:r w:rsidR="008B6061">
          <w:rPr>
            <w:noProof/>
            <w:webHidden/>
          </w:rPr>
          <w:instrText xml:space="preserve"> PAGEREF _Toc448251124 \h </w:instrText>
        </w:r>
        <w:r w:rsidR="008B6061">
          <w:rPr>
            <w:noProof/>
            <w:webHidden/>
          </w:rPr>
        </w:r>
        <w:r w:rsidR="008B6061">
          <w:rPr>
            <w:noProof/>
            <w:webHidden/>
          </w:rPr>
          <w:fldChar w:fldCharType="separate"/>
        </w:r>
        <w:r w:rsidR="00156D5A">
          <w:rPr>
            <w:noProof/>
            <w:webHidden/>
          </w:rPr>
          <w:t>20</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125" w:history="1">
        <w:r w:rsidR="008B6061" w:rsidRPr="0041705A">
          <w:rPr>
            <w:rStyle w:val="aa"/>
            <w:b/>
            <w:noProof/>
          </w:rPr>
          <w:t>2.3.4. Прочие обязательства эмитента</w:t>
        </w:r>
        <w:r w:rsidR="008B6061">
          <w:rPr>
            <w:noProof/>
            <w:webHidden/>
          </w:rPr>
          <w:tab/>
        </w:r>
        <w:r w:rsidR="008B6061">
          <w:rPr>
            <w:noProof/>
            <w:webHidden/>
          </w:rPr>
          <w:fldChar w:fldCharType="begin"/>
        </w:r>
        <w:r w:rsidR="008B6061">
          <w:rPr>
            <w:noProof/>
            <w:webHidden/>
          </w:rPr>
          <w:instrText xml:space="preserve"> PAGEREF _Toc448251125 \h </w:instrText>
        </w:r>
        <w:r w:rsidR="008B6061">
          <w:rPr>
            <w:noProof/>
            <w:webHidden/>
          </w:rPr>
        </w:r>
        <w:r w:rsidR="008B6061">
          <w:rPr>
            <w:noProof/>
            <w:webHidden/>
          </w:rPr>
          <w:fldChar w:fldCharType="separate"/>
        </w:r>
        <w:r w:rsidR="00156D5A">
          <w:rPr>
            <w:noProof/>
            <w:webHidden/>
          </w:rPr>
          <w:t>20</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26" w:history="1">
        <w:r w:rsidR="008B6061" w:rsidRPr="0041705A">
          <w:rPr>
            <w:rStyle w:val="aa"/>
            <w:b/>
            <w:i/>
            <w:noProof/>
          </w:rPr>
          <w:t>2.4. Цели эмиссии и направления использования средств, полученных в результате размещения эмиссионных ценных бумаг</w:t>
        </w:r>
        <w:r w:rsidR="008B6061">
          <w:rPr>
            <w:noProof/>
            <w:webHidden/>
          </w:rPr>
          <w:tab/>
        </w:r>
        <w:r w:rsidR="008B6061">
          <w:rPr>
            <w:noProof/>
            <w:webHidden/>
          </w:rPr>
          <w:fldChar w:fldCharType="begin"/>
        </w:r>
        <w:r w:rsidR="008B6061">
          <w:rPr>
            <w:noProof/>
            <w:webHidden/>
          </w:rPr>
          <w:instrText xml:space="preserve"> PAGEREF _Toc448251126 \h </w:instrText>
        </w:r>
        <w:r w:rsidR="008B6061">
          <w:rPr>
            <w:noProof/>
            <w:webHidden/>
          </w:rPr>
        </w:r>
        <w:r w:rsidR="008B6061">
          <w:rPr>
            <w:noProof/>
            <w:webHidden/>
          </w:rPr>
          <w:fldChar w:fldCharType="separate"/>
        </w:r>
        <w:r w:rsidR="00156D5A">
          <w:rPr>
            <w:noProof/>
            <w:webHidden/>
          </w:rPr>
          <w:t>20</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27" w:history="1">
        <w:r w:rsidR="008B6061" w:rsidRPr="0041705A">
          <w:rPr>
            <w:rStyle w:val="aa"/>
            <w:b/>
            <w:i/>
            <w:noProof/>
          </w:rPr>
          <w:t>2.5. Риски, связанные с приобретением размещаемых эмиссионных ценных бумаг</w:t>
        </w:r>
        <w:r w:rsidR="008B6061">
          <w:rPr>
            <w:noProof/>
            <w:webHidden/>
          </w:rPr>
          <w:tab/>
        </w:r>
        <w:r w:rsidR="008B6061">
          <w:rPr>
            <w:noProof/>
            <w:webHidden/>
          </w:rPr>
          <w:fldChar w:fldCharType="begin"/>
        </w:r>
        <w:r w:rsidR="008B6061">
          <w:rPr>
            <w:noProof/>
            <w:webHidden/>
          </w:rPr>
          <w:instrText xml:space="preserve"> PAGEREF _Toc448251127 \h </w:instrText>
        </w:r>
        <w:r w:rsidR="008B6061">
          <w:rPr>
            <w:noProof/>
            <w:webHidden/>
          </w:rPr>
        </w:r>
        <w:r w:rsidR="008B6061">
          <w:rPr>
            <w:noProof/>
            <w:webHidden/>
          </w:rPr>
          <w:fldChar w:fldCharType="separate"/>
        </w:r>
        <w:r w:rsidR="00156D5A">
          <w:rPr>
            <w:noProof/>
            <w:webHidden/>
          </w:rPr>
          <w:t>21</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128" w:history="1">
        <w:r w:rsidR="008B6061" w:rsidRPr="0041705A">
          <w:rPr>
            <w:rStyle w:val="aa"/>
            <w:b/>
            <w:noProof/>
          </w:rPr>
          <w:t>2.5.1. Отраслевые риски</w:t>
        </w:r>
        <w:r w:rsidR="008B6061">
          <w:rPr>
            <w:noProof/>
            <w:webHidden/>
          </w:rPr>
          <w:tab/>
        </w:r>
        <w:r w:rsidR="008B6061">
          <w:rPr>
            <w:noProof/>
            <w:webHidden/>
          </w:rPr>
          <w:fldChar w:fldCharType="begin"/>
        </w:r>
        <w:r w:rsidR="008B6061">
          <w:rPr>
            <w:noProof/>
            <w:webHidden/>
          </w:rPr>
          <w:instrText xml:space="preserve"> PAGEREF _Toc448251128 \h </w:instrText>
        </w:r>
        <w:r w:rsidR="008B6061">
          <w:rPr>
            <w:noProof/>
            <w:webHidden/>
          </w:rPr>
        </w:r>
        <w:r w:rsidR="008B6061">
          <w:rPr>
            <w:noProof/>
            <w:webHidden/>
          </w:rPr>
          <w:fldChar w:fldCharType="separate"/>
        </w:r>
        <w:r w:rsidR="00156D5A">
          <w:rPr>
            <w:noProof/>
            <w:webHidden/>
          </w:rPr>
          <w:t>21</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129" w:history="1">
        <w:r w:rsidR="008B6061" w:rsidRPr="0041705A">
          <w:rPr>
            <w:rStyle w:val="aa"/>
            <w:b/>
            <w:noProof/>
          </w:rPr>
          <w:t>2.5.2. Страновые и региональные риски</w:t>
        </w:r>
        <w:r w:rsidR="008B6061">
          <w:rPr>
            <w:noProof/>
            <w:webHidden/>
          </w:rPr>
          <w:tab/>
        </w:r>
        <w:r w:rsidR="008B6061">
          <w:rPr>
            <w:noProof/>
            <w:webHidden/>
          </w:rPr>
          <w:fldChar w:fldCharType="begin"/>
        </w:r>
        <w:r w:rsidR="008B6061">
          <w:rPr>
            <w:noProof/>
            <w:webHidden/>
          </w:rPr>
          <w:instrText xml:space="preserve"> PAGEREF _Toc448251129 \h </w:instrText>
        </w:r>
        <w:r w:rsidR="008B6061">
          <w:rPr>
            <w:noProof/>
            <w:webHidden/>
          </w:rPr>
        </w:r>
        <w:r w:rsidR="008B6061">
          <w:rPr>
            <w:noProof/>
            <w:webHidden/>
          </w:rPr>
          <w:fldChar w:fldCharType="separate"/>
        </w:r>
        <w:r w:rsidR="00156D5A">
          <w:rPr>
            <w:noProof/>
            <w:webHidden/>
          </w:rPr>
          <w:t>23</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130" w:history="1">
        <w:r w:rsidR="008B6061" w:rsidRPr="0041705A">
          <w:rPr>
            <w:rStyle w:val="aa"/>
            <w:b/>
            <w:noProof/>
          </w:rPr>
          <w:t>2.5.3. Финансовые риски</w:t>
        </w:r>
        <w:r w:rsidR="008B6061">
          <w:rPr>
            <w:noProof/>
            <w:webHidden/>
          </w:rPr>
          <w:tab/>
        </w:r>
        <w:r w:rsidR="008B6061">
          <w:rPr>
            <w:noProof/>
            <w:webHidden/>
          </w:rPr>
          <w:fldChar w:fldCharType="begin"/>
        </w:r>
        <w:r w:rsidR="008B6061">
          <w:rPr>
            <w:noProof/>
            <w:webHidden/>
          </w:rPr>
          <w:instrText xml:space="preserve"> PAGEREF _Toc448251130 \h </w:instrText>
        </w:r>
        <w:r w:rsidR="008B6061">
          <w:rPr>
            <w:noProof/>
            <w:webHidden/>
          </w:rPr>
        </w:r>
        <w:r w:rsidR="008B6061">
          <w:rPr>
            <w:noProof/>
            <w:webHidden/>
          </w:rPr>
          <w:fldChar w:fldCharType="separate"/>
        </w:r>
        <w:r w:rsidR="00156D5A">
          <w:rPr>
            <w:noProof/>
            <w:webHidden/>
          </w:rPr>
          <w:t>25</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131" w:history="1">
        <w:r w:rsidR="008B6061" w:rsidRPr="0041705A">
          <w:rPr>
            <w:rStyle w:val="aa"/>
            <w:b/>
            <w:noProof/>
          </w:rPr>
          <w:t>2.5.4. Правовые риски</w:t>
        </w:r>
        <w:r w:rsidR="008B6061">
          <w:rPr>
            <w:noProof/>
            <w:webHidden/>
          </w:rPr>
          <w:tab/>
        </w:r>
        <w:r w:rsidR="008B6061">
          <w:rPr>
            <w:noProof/>
            <w:webHidden/>
          </w:rPr>
          <w:fldChar w:fldCharType="begin"/>
        </w:r>
        <w:r w:rsidR="008B6061">
          <w:rPr>
            <w:noProof/>
            <w:webHidden/>
          </w:rPr>
          <w:instrText xml:space="preserve"> PAGEREF _Toc448251131 \h </w:instrText>
        </w:r>
        <w:r w:rsidR="008B6061">
          <w:rPr>
            <w:noProof/>
            <w:webHidden/>
          </w:rPr>
        </w:r>
        <w:r w:rsidR="008B6061">
          <w:rPr>
            <w:noProof/>
            <w:webHidden/>
          </w:rPr>
          <w:fldChar w:fldCharType="separate"/>
        </w:r>
        <w:r w:rsidR="00156D5A">
          <w:rPr>
            <w:noProof/>
            <w:webHidden/>
          </w:rPr>
          <w:t>28</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132" w:history="1">
        <w:r w:rsidR="008B6061" w:rsidRPr="0041705A">
          <w:rPr>
            <w:rStyle w:val="aa"/>
            <w:b/>
            <w:noProof/>
          </w:rPr>
          <w:t>2.5.5. Риск потери деловой репутации (репутационный риск)</w:t>
        </w:r>
        <w:r w:rsidR="008B6061">
          <w:rPr>
            <w:noProof/>
            <w:webHidden/>
          </w:rPr>
          <w:tab/>
        </w:r>
        <w:r w:rsidR="008B6061">
          <w:rPr>
            <w:noProof/>
            <w:webHidden/>
          </w:rPr>
          <w:fldChar w:fldCharType="begin"/>
        </w:r>
        <w:r w:rsidR="008B6061">
          <w:rPr>
            <w:noProof/>
            <w:webHidden/>
          </w:rPr>
          <w:instrText xml:space="preserve"> PAGEREF _Toc448251132 \h </w:instrText>
        </w:r>
        <w:r w:rsidR="008B6061">
          <w:rPr>
            <w:noProof/>
            <w:webHidden/>
          </w:rPr>
        </w:r>
        <w:r w:rsidR="008B6061">
          <w:rPr>
            <w:noProof/>
            <w:webHidden/>
          </w:rPr>
          <w:fldChar w:fldCharType="separate"/>
        </w:r>
        <w:r w:rsidR="00156D5A">
          <w:rPr>
            <w:noProof/>
            <w:webHidden/>
          </w:rPr>
          <w:t>30</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133" w:history="1">
        <w:r w:rsidR="008B6061" w:rsidRPr="0041705A">
          <w:rPr>
            <w:rStyle w:val="aa"/>
            <w:b/>
            <w:noProof/>
          </w:rPr>
          <w:t>2.5.6. Стратегический риск</w:t>
        </w:r>
        <w:r w:rsidR="008B6061">
          <w:rPr>
            <w:noProof/>
            <w:webHidden/>
          </w:rPr>
          <w:tab/>
        </w:r>
        <w:r w:rsidR="008B6061">
          <w:rPr>
            <w:noProof/>
            <w:webHidden/>
          </w:rPr>
          <w:fldChar w:fldCharType="begin"/>
        </w:r>
        <w:r w:rsidR="008B6061">
          <w:rPr>
            <w:noProof/>
            <w:webHidden/>
          </w:rPr>
          <w:instrText xml:space="preserve"> PAGEREF _Toc448251133 \h </w:instrText>
        </w:r>
        <w:r w:rsidR="008B6061">
          <w:rPr>
            <w:noProof/>
            <w:webHidden/>
          </w:rPr>
        </w:r>
        <w:r w:rsidR="008B6061">
          <w:rPr>
            <w:noProof/>
            <w:webHidden/>
          </w:rPr>
          <w:fldChar w:fldCharType="separate"/>
        </w:r>
        <w:r w:rsidR="00156D5A">
          <w:rPr>
            <w:noProof/>
            <w:webHidden/>
          </w:rPr>
          <w:t>32</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134" w:history="1">
        <w:r w:rsidR="008B6061" w:rsidRPr="0041705A">
          <w:rPr>
            <w:rStyle w:val="aa"/>
            <w:b/>
            <w:noProof/>
          </w:rPr>
          <w:t>2.5.7. Риски, связанные с деятельностью эмитента</w:t>
        </w:r>
        <w:r w:rsidR="008B6061">
          <w:rPr>
            <w:noProof/>
            <w:webHidden/>
          </w:rPr>
          <w:tab/>
        </w:r>
        <w:r w:rsidR="008B6061">
          <w:rPr>
            <w:noProof/>
            <w:webHidden/>
          </w:rPr>
          <w:fldChar w:fldCharType="begin"/>
        </w:r>
        <w:r w:rsidR="008B6061">
          <w:rPr>
            <w:noProof/>
            <w:webHidden/>
          </w:rPr>
          <w:instrText xml:space="preserve"> PAGEREF _Toc448251134 \h </w:instrText>
        </w:r>
        <w:r w:rsidR="008B6061">
          <w:rPr>
            <w:noProof/>
            <w:webHidden/>
          </w:rPr>
        </w:r>
        <w:r w:rsidR="008B6061">
          <w:rPr>
            <w:noProof/>
            <w:webHidden/>
          </w:rPr>
          <w:fldChar w:fldCharType="separate"/>
        </w:r>
        <w:r w:rsidR="00156D5A">
          <w:rPr>
            <w:noProof/>
            <w:webHidden/>
          </w:rPr>
          <w:t>34</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135" w:history="1">
        <w:r w:rsidR="008B6061" w:rsidRPr="0041705A">
          <w:rPr>
            <w:rStyle w:val="aa"/>
            <w:b/>
            <w:noProof/>
          </w:rPr>
          <w:t>2.5.8. Банковские риски</w:t>
        </w:r>
        <w:r w:rsidR="008B6061">
          <w:rPr>
            <w:noProof/>
            <w:webHidden/>
          </w:rPr>
          <w:tab/>
        </w:r>
        <w:r w:rsidR="008B6061">
          <w:rPr>
            <w:noProof/>
            <w:webHidden/>
          </w:rPr>
          <w:fldChar w:fldCharType="begin"/>
        </w:r>
        <w:r w:rsidR="008B6061">
          <w:rPr>
            <w:noProof/>
            <w:webHidden/>
          </w:rPr>
          <w:instrText xml:space="preserve"> PAGEREF _Toc448251135 \h </w:instrText>
        </w:r>
        <w:r w:rsidR="008B6061">
          <w:rPr>
            <w:noProof/>
            <w:webHidden/>
          </w:rPr>
        </w:r>
        <w:r w:rsidR="008B6061">
          <w:rPr>
            <w:noProof/>
            <w:webHidden/>
          </w:rPr>
          <w:fldChar w:fldCharType="separate"/>
        </w:r>
        <w:r w:rsidR="00156D5A">
          <w:rPr>
            <w:noProof/>
            <w:webHidden/>
          </w:rPr>
          <w:t>34</w:t>
        </w:r>
        <w:r w:rsidR="008B6061">
          <w:rPr>
            <w:noProof/>
            <w:webHidden/>
          </w:rPr>
          <w:fldChar w:fldCharType="end"/>
        </w:r>
      </w:hyperlink>
    </w:p>
    <w:p w:rsidR="008B6061" w:rsidRDefault="00967F08" w:rsidP="008B6061">
      <w:pPr>
        <w:pStyle w:val="12"/>
        <w:rPr>
          <w:rFonts w:eastAsiaTheme="minorEastAsia" w:cstheme="minorBidi"/>
          <w:sz w:val="22"/>
          <w:szCs w:val="22"/>
        </w:rPr>
      </w:pPr>
      <w:hyperlink w:anchor="_Toc448251136" w:history="1">
        <w:r w:rsidR="008B6061" w:rsidRPr="0041705A">
          <w:rPr>
            <w:rStyle w:val="aa"/>
          </w:rPr>
          <w:t>Раздел III. Подробная информация об эмитенте</w:t>
        </w:r>
        <w:r w:rsidR="008B6061">
          <w:rPr>
            <w:webHidden/>
          </w:rPr>
          <w:tab/>
        </w:r>
        <w:r w:rsidR="008B6061">
          <w:rPr>
            <w:webHidden/>
          </w:rPr>
          <w:fldChar w:fldCharType="begin"/>
        </w:r>
        <w:r w:rsidR="008B6061">
          <w:rPr>
            <w:webHidden/>
          </w:rPr>
          <w:instrText xml:space="preserve"> PAGEREF _Toc448251136 \h </w:instrText>
        </w:r>
        <w:r w:rsidR="008B6061">
          <w:rPr>
            <w:webHidden/>
          </w:rPr>
        </w:r>
        <w:r w:rsidR="008B6061">
          <w:rPr>
            <w:webHidden/>
          </w:rPr>
          <w:fldChar w:fldCharType="separate"/>
        </w:r>
        <w:r w:rsidR="00156D5A">
          <w:rPr>
            <w:webHidden/>
          </w:rPr>
          <w:t>35</w:t>
        </w:r>
        <w:r w:rsidR="008B6061">
          <w:rPr>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37" w:history="1">
        <w:r w:rsidR="008B6061" w:rsidRPr="0041705A">
          <w:rPr>
            <w:rStyle w:val="aa"/>
            <w:b/>
            <w:i/>
            <w:noProof/>
          </w:rPr>
          <w:t>3.1. История создания и развитие эмитента</w:t>
        </w:r>
        <w:r w:rsidR="008B6061">
          <w:rPr>
            <w:noProof/>
            <w:webHidden/>
          </w:rPr>
          <w:tab/>
        </w:r>
        <w:r w:rsidR="008B6061">
          <w:rPr>
            <w:noProof/>
            <w:webHidden/>
          </w:rPr>
          <w:fldChar w:fldCharType="begin"/>
        </w:r>
        <w:r w:rsidR="008B6061">
          <w:rPr>
            <w:noProof/>
            <w:webHidden/>
          </w:rPr>
          <w:instrText xml:space="preserve"> PAGEREF _Toc448251137 \h </w:instrText>
        </w:r>
        <w:r w:rsidR="008B6061">
          <w:rPr>
            <w:noProof/>
            <w:webHidden/>
          </w:rPr>
        </w:r>
        <w:r w:rsidR="008B6061">
          <w:rPr>
            <w:noProof/>
            <w:webHidden/>
          </w:rPr>
          <w:fldChar w:fldCharType="separate"/>
        </w:r>
        <w:r w:rsidR="00156D5A">
          <w:rPr>
            <w:noProof/>
            <w:webHidden/>
          </w:rPr>
          <w:t>35</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138" w:history="1">
        <w:r w:rsidR="008B6061" w:rsidRPr="0041705A">
          <w:rPr>
            <w:rStyle w:val="aa"/>
            <w:b/>
            <w:noProof/>
          </w:rPr>
          <w:t>3.1.1. Данные о фирменном наименовании (наименовании) эмитента</w:t>
        </w:r>
        <w:r w:rsidR="008B6061">
          <w:rPr>
            <w:noProof/>
            <w:webHidden/>
          </w:rPr>
          <w:tab/>
        </w:r>
        <w:r w:rsidR="008B6061">
          <w:rPr>
            <w:noProof/>
            <w:webHidden/>
          </w:rPr>
          <w:fldChar w:fldCharType="begin"/>
        </w:r>
        <w:r w:rsidR="008B6061">
          <w:rPr>
            <w:noProof/>
            <w:webHidden/>
          </w:rPr>
          <w:instrText xml:space="preserve"> PAGEREF _Toc448251138 \h </w:instrText>
        </w:r>
        <w:r w:rsidR="008B6061">
          <w:rPr>
            <w:noProof/>
            <w:webHidden/>
          </w:rPr>
        </w:r>
        <w:r w:rsidR="008B6061">
          <w:rPr>
            <w:noProof/>
            <w:webHidden/>
          </w:rPr>
          <w:fldChar w:fldCharType="separate"/>
        </w:r>
        <w:r w:rsidR="00156D5A">
          <w:rPr>
            <w:noProof/>
            <w:webHidden/>
          </w:rPr>
          <w:t>35</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139" w:history="1">
        <w:r w:rsidR="008B6061" w:rsidRPr="0041705A">
          <w:rPr>
            <w:rStyle w:val="aa"/>
            <w:b/>
            <w:noProof/>
          </w:rPr>
          <w:t>3.1.2. Сведения о государственной регистрации эмитента</w:t>
        </w:r>
        <w:r w:rsidR="008B6061">
          <w:rPr>
            <w:noProof/>
            <w:webHidden/>
          </w:rPr>
          <w:tab/>
        </w:r>
        <w:r w:rsidR="008B6061">
          <w:rPr>
            <w:noProof/>
            <w:webHidden/>
          </w:rPr>
          <w:fldChar w:fldCharType="begin"/>
        </w:r>
        <w:r w:rsidR="008B6061">
          <w:rPr>
            <w:noProof/>
            <w:webHidden/>
          </w:rPr>
          <w:instrText xml:space="preserve"> PAGEREF _Toc448251139 \h </w:instrText>
        </w:r>
        <w:r w:rsidR="008B6061">
          <w:rPr>
            <w:noProof/>
            <w:webHidden/>
          </w:rPr>
        </w:r>
        <w:r w:rsidR="008B6061">
          <w:rPr>
            <w:noProof/>
            <w:webHidden/>
          </w:rPr>
          <w:fldChar w:fldCharType="separate"/>
        </w:r>
        <w:r w:rsidR="00156D5A">
          <w:rPr>
            <w:noProof/>
            <w:webHidden/>
          </w:rPr>
          <w:t>36</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140" w:history="1">
        <w:r w:rsidR="008B6061" w:rsidRPr="0041705A">
          <w:rPr>
            <w:rStyle w:val="aa"/>
            <w:b/>
            <w:noProof/>
          </w:rPr>
          <w:t>3.1.3. Сведения о создании и развитии эмитента</w:t>
        </w:r>
        <w:r w:rsidR="008B6061">
          <w:rPr>
            <w:noProof/>
            <w:webHidden/>
          </w:rPr>
          <w:tab/>
        </w:r>
        <w:r w:rsidR="008B6061">
          <w:rPr>
            <w:noProof/>
            <w:webHidden/>
          </w:rPr>
          <w:fldChar w:fldCharType="begin"/>
        </w:r>
        <w:r w:rsidR="008B6061">
          <w:rPr>
            <w:noProof/>
            <w:webHidden/>
          </w:rPr>
          <w:instrText xml:space="preserve"> PAGEREF _Toc448251140 \h </w:instrText>
        </w:r>
        <w:r w:rsidR="008B6061">
          <w:rPr>
            <w:noProof/>
            <w:webHidden/>
          </w:rPr>
        </w:r>
        <w:r w:rsidR="008B6061">
          <w:rPr>
            <w:noProof/>
            <w:webHidden/>
          </w:rPr>
          <w:fldChar w:fldCharType="separate"/>
        </w:r>
        <w:r w:rsidR="00156D5A">
          <w:rPr>
            <w:noProof/>
            <w:webHidden/>
          </w:rPr>
          <w:t>36</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141" w:history="1">
        <w:r w:rsidR="008B6061" w:rsidRPr="0041705A">
          <w:rPr>
            <w:rStyle w:val="aa"/>
            <w:b/>
            <w:noProof/>
          </w:rPr>
          <w:t>3.1.4. Контактная информация</w:t>
        </w:r>
        <w:r w:rsidR="008B6061">
          <w:rPr>
            <w:noProof/>
            <w:webHidden/>
          </w:rPr>
          <w:tab/>
        </w:r>
        <w:r w:rsidR="008B6061">
          <w:rPr>
            <w:noProof/>
            <w:webHidden/>
          </w:rPr>
          <w:fldChar w:fldCharType="begin"/>
        </w:r>
        <w:r w:rsidR="008B6061">
          <w:rPr>
            <w:noProof/>
            <w:webHidden/>
          </w:rPr>
          <w:instrText xml:space="preserve"> PAGEREF _Toc448251141 \h </w:instrText>
        </w:r>
        <w:r w:rsidR="008B6061">
          <w:rPr>
            <w:noProof/>
            <w:webHidden/>
          </w:rPr>
        </w:r>
        <w:r w:rsidR="008B6061">
          <w:rPr>
            <w:noProof/>
            <w:webHidden/>
          </w:rPr>
          <w:fldChar w:fldCharType="separate"/>
        </w:r>
        <w:r w:rsidR="00156D5A">
          <w:rPr>
            <w:noProof/>
            <w:webHidden/>
          </w:rPr>
          <w:t>40</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142" w:history="1">
        <w:r w:rsidR="008B6061" w:rsidRPr="0041705A">
          <w:rPr>
            <w:rStyle w:val="aa"/>
            <w:b/>
            <w:noProof/>
          </w:rPr>
          <w:t>3.1.5. Идентификационный номер налогоплательщика</w:t>
        </w:r>
        <w:r w:rsidR="008B6061">
          <w:rPr>
            <w:noProof/>
            <w:webHidden/>
          </w:rPr>
          <w:tab/>
        </w:r>
        <w:r w:rsidR="008B6061">
          <w:rPr>
            <w:noProof/>
            <w:webHidden/>
          </w:rPr>
          <w:fldChar w:fldCharType="begin"/>
        </w:r>
        <w:r w:rsidR="008B6061">
          <w:rPr>
            <w:noProof/>
            <w:webHidden/>
          </w:rPr>
          <w:instrText xml:space="preserve"> PAGEREF _Toc448251142 \h </w:instrText>
        </w:r>
        <w:r w:rsidR="008B6061">
          <w:rPr>
            <w:noProof/>
            <w:webHidden/>
          </w:rPr>
        </w:r>
        <w:r w:rsidR="008B6061">
          <w:rPr>
            <w:noProof/>
            <w:webHidden/>
          </w:rPr>
          <w:fldChar w:fldCharType="separate"/>
        </w:r>
        <w:r w:rsidR="00156D5A">
          <w:rPr>
            <w:noProof/>
            <w:webHidden/>
          </w:rPr>
          <w:t>40</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143" w:history="1">
        <w:r w:rsidR="008B6061" w:rsidRPr="0041705A">
          <w:rPr>
            <w:rStyle w:val="aa"/>
            <w:b/>
            <w:noProof/>
          </w:rPr>
          <w:t>3.1.6. Филиалы и представительства эмитента</w:t>
        </w:r>
        <w:r w:rsidR="008B6061">
          <w:rPr>
            <w:noProof/>
            <w:webHidden/>
          </w:rPr>
          <w:tab/>
        </w:r>
        <w:r w:rsidR="008B6061">
          <w:rPr>
            <w:noProof/>
            <w:webHidden/>
          </w:rPr>
          <w:fldChar w:fldCharType="begin"/>
        </w:r>
        <w:r w:rsidR="008B6061">
          <w:rPr>
            <w:noProof/>
            <w:webHidden/>
          </w:rPr>
          <w:instrText xml:space="preserve"> PAGEREF _Toc448251143 \h </w:instrText>
        </w:r>
        <w:r w:rsidR="008B6061">
          <w:rPr>
            <w:noProof/>
            <w:webHidden/>
          </w:rPr>
        </w:r>
        <w:r w:rsidR="008B6061">
          <w:rPr>
            <w:noProof/>
            <w:webHidden/>
          </w:rPr>
          <w:fldChar w:fldCharType="separate"/>
        </w:r>
        <w:r w:rsidR="00156D5A">
          <w:rPr>
            <w:noProof/>
            <w:webHidden/>
          </w:rPr>
          <w:t>40</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44" w:history="1">
        <w:r w:rsidR="008B6061" w:rsidRPr="0041705A">
          <w:rPr>
            <w:rStyle w:val="aa"/>
            <w:b/>
            <w:i/>
            <w:noProof/>
          </w:rPr>
          <w:t>3.2. Основная хозяйственная деятельность эмитента</w:t>
        </w:r>
        <w:r w:rsidR="008B6061">
          <w:rPr>
            <w:noProof/>
            <w:webHidden/>
          </w:rPr>
          <w:tab/>
        </w:r>
        <w:r w:rsidR="008B6061">
          <w:rPr>
            <w:noProof/>
            <w:webHidden/>
          </w:rPr>
          <w:fldChar w:fldCharType="begin"/>
        </w:r>
        <w:r w:rsidR="008B6061">
          <w:rPr>
            <w:noProof/>
            <w:webHidden/>
          </w:rPr>
          <w:instrText xml:space="preserve"> PAGEREF _Toc448251144 \h </w:instrText>
        </w:r>
        <w:r w:rsidR="008B6061">
          <w:rPr>
            <w:noProof/>
            <w:webHidden/>
          </w:rPr>
        </w:r>
        <w:r w:rsidR="008B6061">
          <w:rPr>
            <w:noProof/>
            <w:webHidden/>
          </w:rPr>
          <w:fldChar w:fldCharType="separate"/>
        </w:r>
        <w:r w:rsidR="00156D5A">
          <w:rPr>
            <w:noProof/>
            <w:webHidden/>
          </w:rPr>
          <w:t>40</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145" w:history="1">
        <w:r w:rsidR="008B6061" w:rsidRPr="0041705A">
          <w:rPr>
            <w:rStyle w:val="aa"/>
            <w:b/>
            <w:noProof/>
          </w:rPr>
          <w:t>3.2.1. Основные виды экономической деятельности эмитента</w:t>
        </w:r>
        <w:r w:rsidR="008B6061">
          <w:rPr>
            <w:noProof/>
            <w:webHidden/>
          </w:rPr>
          <w:tab/>
        </w:r>
        <w:r w:rsidR="008B6061">
          <w:rPr>
            <w:noProof/>
            <w:webHidden/>
          </w:rPr>
          <w:fldChar w:fldCharType="begin"/>
        </w:r>
        <w:r w:rsidR="008B6061">
          <w:rPr>
            <w:noProof/>
            <w:webHidden/>
          </w:rPr>
          <w:instrText xml:space="preserve"> PAGEREF _Toc448251145 \h </w:instrText>
        </w:r>
        <w:r w:rsidR="008B6061">
          <w:rPr>
            <w:noProof/>
            <w:webHidden/>
          </w:rPr>
        </w:r>
        <w:r w:rsidR="008B6061">
          <w:rPr>
            <w:noProof/>
            <w:webHidden/>
          </w:rPr>
          <w:fldChar w:fldCharType="separate"/>
        </w:r>
        <w:r w:rsidR="00156D5A">
          <w:rPr>
            <w:noProof/>
            <w:webHidden/>
          </w:rPr>
          <w:t>40</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146" w:history="1">
        <w:r w:rsidR="008B6061" w:rsidRPr="0041705A">
          <w:rPr>
            <w:rStyle w:val="aa"/>
            <w:b/>
            <w:noProof/>
          </w:rPr>
          <w:t>3.2.2. Основная хозяйственная деятельность эмитента</w:t>
        </w:r>
        <w:r w:rsidR="008B6061">
          <w:rPr>
            <w:noProof/>
            <w:webHidden/>
          </w:rPr>
          <w:tab/>
        </w:r>
        <w:r w:rsidR="008B6061">
          <w:rPr>
            <w:noProof/>
            <w:webHidden/>
          </w:rPr>
          <w:fldChar w:fldCharType="begin"/>
        </w:r>
        <w:r w:rsidR="008B6061">
          <w:rPr>
            <w:noProof/>
            <w:webHidden/>
          </w:rPr>
          <w:instrText xml:space="preserve"> PAGEREF _Toc448251146 \h </w:instrText>
        </w:r>
        <w:r w:rsidR="008B6061">
          <w:rPr>
            <w:noProof/>
            <w:webHidden/>
          </w:rPr>
        </w:r>
        <w:r w:rsidR="008B6061">
          <w:rPr>
            <w:noProof/>
            <w:webHidden/>
          </w:rPr>
          <w:fldChar w:fldCharType="separate"/>
        </w:r>
        <w:r w:rsidR="00156D5A">
          <w:rPr>
            <w:noProof/>
            <w:webHidden/>
          </w:rPr>
          <w:t>40</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147" w:history="1">
        <w:r w:rsidR="008B6061" w:rsidRPr="0041705A">
          <w:rPr>
            <w:rStyle w:val="aa"/>
            <w:b/>
            <w:noProof/>
          </w:rPr>
          <w:t>3.2.3. Материалы, товары (сырье) и поставщики эмитента</w:t>
        </w:r>
        <w:r w:rsidR="008B6061">
          <w:rPr>
            <w:noProof/>
            <w:webHidden/>
          </w:rPr>
          <w:tab/>
        </w:r>
        <w:r w:rsidR="008B6061">
          <w:rPr>
            <w:noProof/>
            <w:webHidden/>
          </w:rPr>
          <w:fldChar w:fldCharType="begin"/>
        </w:r>
        <w:r w:rsidR="008B6061">
          <w:rPr>
            <w:noProof/>
            <w:webHidden/>
          </w:rPr>
          <w:instrText xml:space="preserve"> PAGEREF _Toc448251147 \h </w:instrText>
        </w:r>
        <w:r w:rsidR="008B6061">
          <w:rPr>
            <w:noProof/>
            <w:webHidden/>
          </w:rPr>
        </w:r>
        <w:r w:rsidR="008B6061">
          <w:rPr>
            <w:noProof/>
            <w:webHidden/>
          </w:rPr>
          <w:fldChar w:fldCharType="separate"/>
        </w:r>
        <w:r w:rsidR="00156D5A">
          <w:rPr>
            <w:noProof/>
            <w:webHidden/>
          </w:rPr>
          <w:t>40</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148" w:history="1">
        <w:r w:rsidR="008B6061" w:rsidRPr="0041705A">
          <w:rPr>
            <w:rStyle w:val="aa"/>
            <w:b/>
            <w:noProof/>
          </w:rPr>
          <w:t>3.2.4. Рынки сбыта продукции (работ, услуг) эмитента</w:t>
        </w:r>
        <w:r w:rsidR="008B6061">
          <w:rPr>
            <w:noProof/>
            <w:webHidden/>
          </w:rPr>
          <w:tab/>
        </w:r>
        <w:r w:rsidR="008B6061">
          <w:rPr>
            <w:noProof/>
            <w:webHidden/>
          </w:rPr>
          <w:fldChar w:fldCharType="begin"/>
        </w:r>
        <w:r w:rsidR="008B6061">
          <w:rPr>
            <w:noProof/>
            <w:webHidden/>
          </w:rPr>
          <w:instrText xml:space="preserve"> PAGEREF _Toc448251148 \h </w:instrText>
        </w:r>
        <w:r w:rsidR="008B6061">
          <w:rPr>
            <w:noProof/>
            <w:webHidden/>
          </w:rPr>
        </w:r>
        <w:r w:rsidR="008B6061">
          <w:rPr>
            <w:noProof/>
            <w:webHidden/>
          </w:rPr>
          <w:fldChar w:fldCharType="separate"/>
        </w:r>
        <w:r w:rsidR="00156D5A">
          <w:rPr>
            <w:noProof/>
            <w:webHidden/>
          </w:rPr>
          <w:t>41</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149" w:history="1">
        <w:r w:rsidR="008B6061" w:rsidRPr="0041705A">
          <w:rPr>
            <w:rStyle w:val="aa"/>
            <w:b/>
            <w:noProof/>
          </w:rPr>
          <w:t>3.2.5. Сведения о наличии у эмитента разрешений (лицензий) или допусков к отдельным видам работ</w:t>
        </w:r>
        <w:r w:rsidR="008B6061">
          <w:rPr>
            <w:noProof/>
            <w:webHidden/>
          </w:rPr>
          <w:tab/>
        </w:r>
        <w:r w:rsidR="008B6061">
          <w:rPr>
            <w:noProof/>
            <w:webHidden/>
          </w:rPr>
          <w:fldChar w:fldCharType="begin"/>
        </w:r>
        <w:r w:rsidR="008B6061">
          <w:rPr>
            <w:noProof/>
            <w:webHidden/>
          </w:rPr>
          <w:instrText xml:space="preserve"> PAGEREF _Toc448251149 \h </w:instrText>
        </w:r>
        <w:r w:rsidR="008B6061">
          <w:rPr>
            <w:noProof/>
            <w:webHidden/>
          </w:rPr>
        </w:r>
        <w:r w:rsidR="008B6061">
          <w:rPr>
            <w:noProof/>
            <w:webHidden/>
          </w:rPr>
          <w:fldChar w:fldCharType="separate"/>
        </w:r>
        <w:r w:rsidR="00156D5A">
          <w:rPr>
            <w:noProof/>
            <w:webHidden/>
          </w:rPr>
          <w:t>41</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150" w:history="1">
        <w:r w:rsidR="008B6061" w:rsidRPr="0041705A">
          <w:rPr>
            <w:rStyle w:val="aa"/>
            <w:b/>
            <w:noProof/>
          </w:rPr>
          <w:t>3.2.6. Сведения о деятельности отдельных категорий эмитентов эмиссионных ценных бумаг</w:t>
        </w:r>
        <w:r w:rsidR="008B6061">
          <w:rPr>
            <w:noProof/>
            <w:webHidden/>
          </w:rPr>
          <w:tab/>
        </w:r>
        <w:r w:rsidR="008B6061">
          <w:rPr>
            <w:noProof/>
            <w:webHidden/>
          </w:rPr>
          <w:fldChar w:fldCharType="begin"/>
        </w:r>
        <w:r w:rsidR="008B6061">
          <w:rPr>
            <w:noProof/>
            <w:webHidden/>
          </w:rPr>
          <w:instrText xml:space="preserve"> PAGEREF _Toc448251150 \h </w:instrText>
        </w:r>
        <w:r w:rsidR="008B6061">
          <w:rPr>
            <w:noProof/>
            <w:webHidden/>
          </w:rPr>
        </w:r>
        <w:r w:rsidR="008B6061">
          <w:rPr>
            <w:noProof/>
            <w:webHidden/>
          </w:rPr>
          <w:fldChar w:fldCharType="separate"/>
        </w:r>
        <w:r w:rsidR="00156D5A">
          <w:rPr>
            <w:noProof/>
            <w:webHidden/>
          </w:rPr>
          <w:t>41</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151" w:history="1">
        <w:r w:rsidR="008B6061" w:rsidRPr="0041705A">
          <w:rPr>
            <w:rStyle w:val="aa"/>
            <w:b/>
            <w:noProof/>
          </w:rPr>
          <w:t>3.2.7. Дополнительные сведения об эмитентах, основной деятельностью которых является добыча полезных ископаемых</w:t>
        </w:r>
        <w:r w:rsidR="008B6061">
          <w:rPr>
            <w:noProof/>
            <w:webHidden/>
          </w:rPr>
          <w:tab/>
        </w:r>
        <w:r w:rsidR="008B6061">
          <w:rPr>
            <w:noProof/>
            <w:webHidden/>
          </w:rPr>
          <w:fldChar w:fldCharType="begin"/>
        </w:r>
        <w:r w:rsidR="008B6061">
          <w:rPr>
            <w:noProof/>
            <w:webHidden/>
          </w:rPr>
          <w:instrText xml:space="preserve"> PAGEREF _Toc448251151 \h </w:instrText>
        </w:r>
        <w:r w:rsidR="008B6061">
          <w:rPr>
            <w:noProof/>
            <w:webHidden/>
          </w:rPr>
        </w:r>
        <w:r w:rsidR="008B6061">
          <w:rPr>
            <w:noProof/>
            <w:webHidden/>
          </w:rPr>
          <w:fldChar w:fldCharType="separate"/>
        </w:r>
        <w:r w:rsidR="00156D5A">
          <w:rPr>
            <w:noProof/>
            <w:webHidden/>
          </w:rPr>
          <w:t>41</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152" w:history="1">
        <w:r w:rsidR="008B6061" w:rsidRPr="0041705A">
          <w:rPr>
            <w:rStyle w:val="aa"/>
            <w:b/>
            <w:noProof/>
          </w:rPr>
          <w:t>3.2.8. Дополнительные сведения об эмитентах, основной деятельностью которых является оказание услуг связи</w:t>
        </w:r>
        <w:r w:rsidR="008B6061">
          <w:rPr>
            <w:noProof/>
            <w:webHidden/>
          </w:rPr>
          <w:tab/>
        </w:r>
        <w:r w:rsidR="008B6061">
          <w:rPr>
            <w:noProof/>
            <w:webHidden/>
          </w:rPr>
          <w:fldChar w:fldCharType="begin"/>
        </w:r>
        <w:r w:rsidR="008B6061">
          <w:rPr>
            <w:noProof/>
            <w:webHidden/>
          </w:rPr>
          <w:instrText xml:space="preserve"> PAGEREF _Toc448251152 \h </w:instrText>
        </w:r>
        <w:r w:rsidR="008B6061">
          <w:rPr>
            <w:noProof/>
            <w:webHidden/>
          </w:rPr>
        </w:r>
        <w:r w:rsidR="008B6061">
          <w:rPr>
            <w:noProof/>
            <w:webHidden/>
          </w:rPr>
          <w:fldChar w:fldCharType="separate"/>
        </w:r>
        <w:r w:rsidR="00156D5A">
          <w:rPr>
            <w:noProof/>
            <w:webHidden/>
          </w:rPr>
          <w:t>41</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53" w:history="1">
        <w:r w:rsidR="008B6061" w:rsidRPr="0041705A">
          <w:rPr>
            <w:rStyle w:val="aa"/>
            <w:b/>
            <w:i/>
            <w:noProof/>
          </w:rPr>
          <w:t>3.3. Планы будущей деятельности эмитента</w:t>
        </w:r>
        <w:r w:rsidR="008B6061">
          <w:rPr>
            <w:noProof/>
            <w:webHidden/>
          </w:rPr>
          <w:tab/>
        </w:r>
        <w:r w:rsidR="008B6061">
          <w:rPr>
            <w:noProof/>
            <w:webHidden/>
          </w:rPr>
          <w:fldChar w:fldCharType="begin"/>
        </w:r>
        <w:r w:rsidR="008B6061">
          <w:rPr>
            <w:noProof/>
            <w:webHidden/>
          </w:rPr>
          <w:instrText xml:space="preserve"> PAGEREF _Toc448251153 \h </w:instrText>
        </w:r>
        <w:r w:rsidR="008B6061">
          <w:rPr>
            <w:noProof/>
            <w:webHidden/>
          </w:rPr>
        </w:r>
        <w:r w:rsidR="008B6061">
          <w:rPr>
            <w:noProof/>
            <w:webHidden/>
          </w:rPr>
          <w:fldChar w:fldCharType="separate"/>
        </w:r>
        <w:r w:rsidR="00156D5A">
          <w:rPr>
            <w:noProof/>
            <w:webHidden/>
          </w:rPr>
          <w:t>41</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54" w:history="1">
        <w:r w:rsidR="008B6061" w:rsidRPr="0041705A">
          <w:rPr>
            <w:rStyle w:val="aa"/>
            <w:b/>
            <w:i/>
            <w:noProof/>
          </w:rPr>
          <w:t>3.4. Участие эмитента в банковских группах, банковских холдингах, холдингах и ассоциациях</w:t>
        </w:r>
        <w:r w:rsidR="008B6061">
          <w:rPr>
            <w:noProof/>
            <w:webHidden/>
          </w:rPr>
          <w:tab/>
        </w:r>
        <w:r w:rsidR="008B6061">
          <w:rPr>
            <w:noProof/>
            <w:webHidden/>
          </w:rPr>
          <w:fldChar w:fldCharType="begin"/>
        </w:r>
        <w:r w:rsidR="008B6061">
          <w:rPr>
            <w:noProof/>
            <w:webHidden/>
          </w:rPr>
          <w:instrText xml:space="preserve"> PAGEREF _Toc448251154 \h </w:instrText>
        </w:r>
        <w:r w:rsidR="008B6061">
          <w:rPr>
            <w:noProof/>
            <w:webHidden/>
          </w:rPr>
        </w:r>
        <w:r w:rsidR="008B6061">
          <w:rPr>
            <w:noProof/>
            <w:webHidden/>
          </w:rPr>
          <w:fldChar w:fldCharType="separate"/>
        </w:r>
        <w:r w:rsidR="00156D5A">
          <w:rPr>
            <w:noProof/>
            <w:webHidden/>
          </w:rPr>
          <w:t>41</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55" w:history="1">
        <w:r w:rsidR="008B6061" w:rsidRPr="0041705A">
          <w:rPr>
            <w:rStyle w:val="aa"/>
            <w:b/>
            <w:i/>
            <w:noProof/>
          </w:rPr>
          <w:t>3.5. Дочерние и зависимые хозяйственные общества эмитента</w:t>
        </w:r>
        <w:r w:rsidR="008B6061">
          <w:rPr>
            <w:noProof/>
            <w:webHidden/>
          </w:rPr>
          <w:tab/>
        </w:r>
        <w:r w:rsidR="008B6061">
          <w:rPr>
            <w:noProof/>
            <w:webHidden/>
          </w:rPr>
          <w:fldChar w:fldCharType="begin"/>
        </w:r>
        <w:r w:rsidR="008B6061">
          <w:rPr>
            <w:noProof/>
            <w:webHidden/>
          </w:rPr>
          <w:instrText xml:space="preserve"> PAGEREF _Toc448251155 \h </w:instrText>
        </w:r>
        <w:r w:rsidR="008B6061">
          <w:rPr>
            <w:noProof/>
            <w:webHidden/>
          </w:rPr>
        </w:r>
        <w:r w:rsidR="008B6061">
          <w:rPr>
            <w:noProof/>
            <w:webHidden/>
          </w:rPr>
          <w:fldChar w:fldCharType="separate"/>
        </w:r>
        <w:r w:rsidR="00156D5A">
          <w:rPr>
            <w:noProof/>
            <w:webHidden/>
          </w:rPr>
          <w:t>41</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56" w:history="1">
        <w:r w:rsidR="008B6061" w:rsidRPr="0041705A">
          <w:rPr>
            <w:rStyle w:val="aa"/>
            <w:b/>
            <w:i/>
            <w:noProof/>
          </w:rPr>
          <w:t>3.6. Состав, структура и стоимость основных средств эмитента, информация о планах по приобретению, замене, выбытию основных средств, а также обо всех фактах обременения основных средств эмитента</w:t>
        </w:r>
        <w:r w:rsidR="008B6061">
          <w:rPr>
            <w:noProof/>
            <w:webHidden/>
          </w:rPr>
          <w:tab/>
        </w:r>
        <w:r w:rsidR="008B6061">
          <w:rPr>
            <w:noProof/>
            <w:webHidden/>
          </w:rPr>
          <w:fldChar w:fldCharType="begin"/>
        </w:r>
        <w:r w:rsidR="008B6061">
          <w:rPr>
            <w:noProof/>
            <w:webHidden/>
          </w:rPr>
          <w:instrText xml:space="preserve"> PAGEREF _Toc448251156 \h </w:instrText>
        </w:r>
        <w:r w:rsidR="008B6061">
          <w:rPr>
            <w:noProof/>
            <w:webHidden/>
          </w:rPr>
        </w:r>
        <w:r w:rsidR="008B6061">
          <w:rPr>
            <w:noProof/>
            <w:webHidden/>
          </w:rPr>
          <w:fldChar w:fldCharType="separate"/>
        </w:r>
        <w:r w:rsidR="00156D5A">
          <w:rPr>
            <w:noProof/>
            <w:webHidden/>
          </w:rPr>
          <w:t>41</w:t>
        </w:r>
        <w:r w:rsidR="008B6061">
          <w:rPr>
            <w:noProof/>
            <w:webHidden/>
          </w:rPr>
          <w:fldChar w:fldCharType="end"/>
        </w:r>
      </w:hyperlink>
    </w:p>
    <w:p w:rsidR="008B6061" w:rsidRDefault="003B4A07">
      <w:pPr>
        <w:pStyle w:val="21"/>
        <w:tabs>
          <w:tab w:val="right" w:leader="dot" w:pos="9345"/>
        </w:tabs>
        <w:rPr>
          <w:rFonts w:eastAsiaTheme="minorEastAsia" w:cstheme="minorBidi"/>
          <w:smallCaps w:val="0"/>
          <w:noProof/>
          <w:sz w:val="22"/>
          <w:szCs w:val="22"/>
        </w:rPr>
      </w:pPr>
      <w:hyperlink w:anchor="_Toc448251157" w:history="1">
        <w:r w:rsidR="008B6061" w:rsidRPr="0041705A">
          <w:rPr>
            <w:rStyle w:val="aa"/>
            <w:b/>
            <w:i/>
            <w:noProof/>
          </w:rPr>
          <w:t>3.7. Подконтрольные эмитенту организации, имеющие для него существенное значение</w:t>
        </w:r>
        <w:r w:rsidR="008B6061">
          <w:rPr>
            <w:noProof/>
            <w:webHidden/>
          </w:rPr>
          <w:tab/>
        </w:r>
        <w:r w:rsidR="008B6061">
          <w:rPr>
            <w:noProof/>
            <w:webHidden/>
          </w:rPr>
          <w:fldChar w:fldCharType="begin"/>
        </w:r>
        <w:r w:rsidR="008B6061">
          <w:rPr>
            <w:noProof/>
            <w:webHidden/>
          </w:rPr>
          <w:instrText xml:space="preserve"> PAGEREF _Toc448251157 \h </w:instrText>
        </w:r>
        <w:r w:rsidR="008B6061">
          <w:rPr>
            <w:noProof/>
            <w:webHidden/>
          </w:rPr>
        </w:r>
        <w:r w:rsidR="008B6061">
          <w:rPr>
            <w:noProof/>
            <w:webHidden/>
          </w:rPr>
          <w:fldChar w:fldCharType="separate"/>
        </w:r>
        <w:r w:rsidR="00156D5A">
          <w:rPr>
            <w:noProof/>
            <w:webHidden/>
          </w:rPr>
          <w:t>41</w:t>
        </w:r>
        <w:r w:rsidR="008B6061">
          <w:rPr>
            <w:noProof/>
            <w:webHidden/>
          </w:rPr>
          <w:fldChar w:fldCharType="end"/>
        </w:r>
      </w:hyperlink>
    </w:p>
    <w:p w:rsidR="008B6061" w:rsidRDefault="00967F08" w:rsidP="008B6061">
      <w:pPr>
        <w:pStyle w:val="12"/>
        <w:rPr>
          <w:rFonts w:eastAsiaTheme="minorEastAsia" w:cstheme="minorBidi"/>
          <w:sz w:val="22"/>
          <w:szCs w:val="22"/>
        </w:rPr>
      </w:pPr>
      <w:hyperlink w:anchor="_Toc448251158" w:history="1">
        <w:r w:rsidR="008B6061" w:rsidRPr="0041705A">
          <w:rPr>
            <w:rStyle w:val="aa"/>
          </w:rPr>
          <w:t>Раздел IV. Сведения о финансово-хозяйственной деятельности эмитента</w:t>
        </w:r>
        <w:r w:rsidR="008B6061">
          <w:rPr>
            <w:webHidden/>
          </w:rPr>
          <w:tab/>
        </w:r>
        <w:r w:rsidR="008B6061">
          <w:rPr>
            <w:webHidden/>
          </w:rPr>
          <w:fldChar w:fldCharType="begin"/>
        </w:r>
        <w:r w:rsidR="008B6061">
          <w:rPr>
            <w:webHidden/>
          </w:rPr>
          <w:instrText xml:space="preserve"> PAGEREF _Toc448251158 \h </w:instrText>
        </w:r>
        <w:r w:rsidR="008B6061">
          <w:rPr>
            <w:webHidden/>
          </w:rPr>
        </w:r>
        <w:r w:rsidR="008B6061">
          <w:rPr>
            <w:webHidden/>
          </w:rPr>
          <w:fldChar w:fldCharType="separate"/>
        </w:r>
        <w:r w:rsidR="00156D5A">
          <w:rPr>
            <w:webHidden/>
          </w:rPr>
          <w:t>43</w:t>
        </w:r>
        <w:r w:rsidR="008B6061">
          <w:rPr>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59" w:history="1">
        <w:r w:rsidR="008B6061" w:rsidRPr="0041705A">
          <w:rPr>
            <w:rStyle w:val="aa"/>
            <w:b/>
            <w:i/>
            <w:noProof/>
          </w:rPr>
          <w:t>4.1. Результаты финансово-хозяйственной деятельности эмитента</w:t>
        </w:r>
        <w:r w:rsidR="008B6061">
          <w:rPr>
            <w:noProof/>
            <w:webHidden/>
          </w:rPr>
          <w:tab/>
        </w:r>
        <w:r w:rsidR="008B6061">
          <w:rPr>
            <w:noProof/>
            <w:webHidden/>
          </w:rPr>
          <w:fldChar w:fldCharType="begin"/>
        </w:r>
        <w:r w:rsidR="008B6061">
          <w:rPr>
            <w:noProof/>
            <w:webHidden/>
          </w:rPr>
          <w:instrText xml:space="preserve"> PAGEREF _Toc448251159 \h </w:instrText>
        </w:r>
        <w:r w:rsidR="008B6061">
          <w:rPr>
            <w:noProof/>
            <w:webHidden/>
          </w:rPr>
        </w:r>
        <w:r w:rsidR="008B6061">
          <w:rPr>
            <w:noProof/>
            <w:webHidden/>
          </w:rPr>
          <w:fldChar w:fldCharType="separate"/>
        </w:r>
        <w:r w:rsidR="00156D5A">
          <w:rPr>
            <w:noProof/>
            <w:webHidden/>
          </w:rPr>
          <w:t>43</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60" w:history="1">
        <w:r w:rsidR="008B6061" w:rsidRPr="0041705A">
          <w:rPr>
            <w:rStyle w:val="aa"/>
            <w:b/>
            <w:i/>
            <w:noProof/>
          </w:rPr>
          <w:t>4.2. Ликвидность эмитента, достаточность капитала и оборотных средств</w:t>
        </w:r>
        <w:r w:rsidR="008B6061">
          <w:rPr>
            <w:noProof/>
            <w:webHidden/>
          </w:rPr>
          <w:tab/>
        </w:r>
        <w:r w:rsidR="008B6061">
          <w:rPr>
            <w:noProof/>
            <w:webHidden/>
          </w:rPr>
          <w:fldChar w:fldCharType="begin"/>
        </w:r>
        <w:r w:rsidR="008B6061">
          <w:rPr>
            <w:noProof/>
            <w:webHidden/>
          </w:rPr>
          <w:instrText xml:space="preserve"> PAGEREF _Toc448251160 \h </w:instrText>
        </w:r>
        <w:r w:rsidR="008B6061">
          <w:rPr>
            <w:noProof/>
            <w:webHidden/>
          </w:rPr>
        </w:r>
        <w:r w:rsidR="008B6061">
          <w:rPr>
            <w:noProof/>
            <w:webHidden/>
          </w:rPr>
          <w:fldChar w:fldCharType="separate"/>
        </w:r>
        <w:r w:rsidR="00156D5A">
          <w:rPr>
            <w:noProof/>
            <w:webHidden/>
          </w:rPr>
          <w:t>46</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61" w:history="1">
        <w:r w:rsidR="008B6061" w:rsidRPr="0041705A">
          <w:rPr>
            <w:rStyle w:val="aa"/>
            <w:b/>
            <w:i/>
            <w:noProof/>
          </w:rPr>
          <w:t>4.3. Размер и структура капитала и оборотных средств эмитента</w:t>
        </w:r>
        <w:r w:rsidR="008B6061">
          <w:rPr>
            <w:noProof/>
            <w:webHidden/>
          </w:rPr>
          <w:tab/>
        </w:r>
        <w:r w:rsidR="008B6061">
          <w:rPr>
            <w:noProof/>
            <w:webHidden/>
          </w:rPr>
          <w:fldChar w:fldCharType="begin"/>
        </w:r>
        <w:r w:rsidR="008B6061">
          <w:rPr>
            <w:noProof/>
            <w:webHidden/>
          </w:rPr>
          <w:instrText xml:space="preserve"> PAGEREF _Toc448251161 \h </w:instrText>
        </w:r>
        <w:r w:rsidR="008B6061">
          <w:rPr>
            <w:noProof/>
            <w:webHidden/>
          </w:rPr>
        </w:r>
        <w:r w:rsidR="008B6061">
          <w:rPr>
            <w:noProof/>
            <w:webHidden/>
          </w:rPr>
          <w:fldChar w:fldCharType="separate"/>
        </w:r>
        <w:r w:rsidR="00156D5A">
          <w:rPr>
            <w:noProof/>
            <w:webHidden/>
          </w:rPr>
          <w:t>49</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162" w:history="1">
        <w:r w:rsidR="008B6061" w:rsidRPr="0041705A">
          <w:rPr>
            <w:rStyle w:val="aa"/>
            <w:b/>
            <w:noProof/>
          </w:rPr>
          <w:t>4.3.1. Размер и структура капитала и оборотных средств эмитента</w:t>
        </w:r>
        <w:r w:rsidR="008B6061">
          <w:rPr>
            <w:noProof/>
            <w:webHidden/>
          </w:rPr>
          <w:tab/>
        </w:r>
        <w:r w:rsidR="008B6061">
          <w:rPr>
            <w:noProof/>
            <w:webHidden/>
          </w:rPr>
          <w:fldChar w:fldCharType="begin"/>
        </w:r>
        <w:r w:rsidR="008B6061">
          <w:rPr>
            <w:noProof/>
            <w:webHidden/>
          </w:rPr>
          <w:instrText xml:space="preserve"> PAGEREF _Toc448251162 \h </w:instrText>
        </w:r>
        <w:r w:rsidR="008B6061">
          <w:rPr>
            <w:noProof/>
            <w:webHidden/>
          </w:rPr>
        </w:r>
        <w:r w:rsidR="008B6061">
          <w:rPr>
            <w:noProof/>
            <w:webHidden/>
          </w:rPr>
          <w:fldChar w:fldCharType="separate"/>
        </w:r>
        <w:r w:rsidR="00156D5A">
          <w:rPr>
            <w:noProof/>
            <w:webHidden/>
          </w:rPr>
          <w:t>49</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163" w:history="1">
        <w:r w:rsidR="008B6061" w:rsidRPr="0041705A">
          <w:rPr>
            <w:rStyle w:val="aa"/>
            <w:b/>
            <w:noProof/>
          </w:rPr>
          <w:t>4.3.2. Финансовые вложения эмитента</w:t>
        </w:r>
        <w:r w:rsidR="008B6061">
          <w:rPr>
            <w:noProof/>
            <w:webHidden/>
          </w:rPr>
          <w:tab/>
        </w:r>
        <w:r w:rsidR="008B6061">
          <w:rPr>
            <w:noProof/>
            <w:webHidden/>
          </w:rPr>
          <w:fldChar w:fldCharType="begin"/>
        </w:r>
        <w:r w:rsidR="008B6061">
          <w:rPr>
            <w:noProof/>
            <w:webHidden/>
          </w:rPr>
          <w:instrText xml:space="preserve"> PAGEREF _Toc448251163 \h </w:instrText>
        </w:r>
        <w:r w:rsidR="008B6061">
          <w:rPr>
            <w:noProof/>
            <w:webHidden/>
          </w:rPr>
        </w:r>
        <w:r w:rsidR="008B6061">
          <w:rPr>
            <w:noProof/>
            <w:webHidden/>
          </w:rPr>
          <w:fldChar w:fldCharType="separate"/>
        </w:r>
        <w:r w:rsidR="00156D5A">
          <w:rPr>
            <w:noProof/>
            <w:webHidden/>
          </w:rPr>
          <w:t>49</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164" w:history="1">
        <w:r w:rsidR="008B6061" w:rsidRPr="0041705A">
          <w:rPr>
            <w:rStyle w:val="aa"/>
            <w:b/>
            <w:noProof/>
          </w:rPr>
          <w:t>4.3.3. Нематериальные активы эмитента</w:t>
        </w:r>
        <w:r w:rsidR="008B6061">
          <w:rPr>
            <w:noProof/>
            <w:webHidden/>
          </w:rPr>
          <w:tab/>
        </w:r>
        <w:r w:rsidR="008B6061">
          <w:rPr>
            <w:noProof/>
            <w:webHidden/>
          </w:rPr>
          <w:fldChar w:fldCharType="begin"/>
        </w:r>
        <w:r w:rsidR="008B6061">
          <w:rPr>
            <w:noProof/>
            <w:webHidden/>
          </w:rPr>
          <w:instrText xml:space="preserve"> PAGEREF _Toc448251164 \h </w:instrText>
        </w:r>
        <w:r w:rsidR="008B6061">
          <w:rPr>
            <w:noProof/>
            <w:webHidden/>
          </w:rPr>
        </w:r>
        <w:r w:rsidR="008B6061">
          <w:rPr>
            <w:noProof/>
            <w:webHidden/>
          </w:rPr>
          <w:fldChar w:fldCharType="separate"/>
        </w:r>
        <w:r w:rsidR="00156D5A">
          <w:rPr>
            <w:noProof/>
            <w:webHidden/>
          </w:rPr>
          <w:t>50</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65" w:history="1">
        <w:r w:rsidR="008B6061" w:rsidRPr="0041705A">
          <w:rPr>
            <w:rStyle w:val="aa"/>
            <w:b/>
            <w:i/>
            <w:noProof/>
          </w:rPr>
          <w:t>4.4. Сведения о политике и расходах эмитента в области научно-технического развития, в отношении лицензий и патентов, новых разработок и исследований</w:t>
        </w:r>
        <w:r w:rsidR="008B6061">
          <w:rPr>
            <w:noProof/>
            <w:webHidden/>
          </w:rPr>
          <w:tab/>
        </w:r>
        <w:r w:rsidR="008B6061">
          <w:rPr>
            <w:noProof/>
            <w:webHidden/>
          </w:rPr>
          <w:fldChar w:fldCharType="begin"/>
        </w:r>
        <w:r w:rsidR="008B6061">
          <w:rPr>
            <w:noProof/>
            <w:webHidden/>
          </w:rPr>
          <w:instrText xml:space="preserve"> PAGEREF _Toc448251165 \h </w:instrText>
        </w:r>
        <w:r w:rsidR="008B6061">
          <w:rPr>
            <w:noProof/>
            <w:webHidden/>
          </w:rPr>
        </w:r>
        <w:r w:rsidR="008B6061">
          <w:rPr>
            <w:noProof/>
            <w:webHidden/>
          </w:rPr>
          <w:fldChar w:fldCharType="separate"/>
        </w:r>
        <w:r w:rsidR="00156D5A">
          <w:rPr>
            <w:noProof/>
            <w:webHidden/>
          </w:rPr>
          <w:t>50</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66" w:history="1">
        <w:r w:rsidR="008B6061" w:rsidRPr="0041705A">
          <w:rPr>
            <w:rStyle w:val="aa"/>
            <w:b/>
            <w:i/>
            <w:noProof/>
          </w:rPr>
          <w:t>4.5. Анализ тенденций развития в сфере основной деятельности эмитента</w:t>
        </w:r>
        <w:r w:rsidR="008B6061">
          <w:rPr>
            <w:noProof/>
            <w:webHidden/>
          </w:rPr>
          <w:tab/>
        </w:r>
        <w:r w:rsidR="008B6061">
          <w:rPr>
            <w:noProof/>
            <w:webHidden/>
          </w:rPr>
          <w:fldChar w:fldCharType="begin"/>
        </w:r>
        <w:r w:rsidR="008B6061">
          <w:rPr>
            <w:noProof/>
            <w:webHidden/>
          </w:rPr>
          <w:instrText xml:space="preserve"> PAGEREF _Toc448251166 \h </w:instrText>
        </w:r>
        <w:r w:rsidR="008B6061">
          <w:rPr>
            <w:noProof/>
            <w:webHidden/>
          </w:rPr>
        </w:r>
        <w:r w:rsidR="008B6061">
          <w:rPr>
            <w:noProof/>
            <w:webHidden/>
          </w:rPr>
          <w:fldChar w:fldCharType="separate"/>
        </w:r>
        <w:r w:rsidR="00156D5A">
          <w:rPr>
            <w:noProof/>
            <w:webHidden/>
          </w:rPr>
          <w:t>50</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67" w:history="1">
        <w:r w:rsidR="008B6061" w:rsidRPr="0041705A">
          <w:rPr>
            <w:rStyle w:val="aa"/>
            <w:b/>
            <w:i/>
            <w:noProof/>
          </w:rPr>
          <w:t>4.6. Анализ факторов и условий, влияющих на деятельность эмитента</w:t>
        </w:r>
        <w:r w:rsidR="008B6061">
          <w:rPr>
            <w:noProof/>
            <w:webHidden/>
          </w:rPr>
          <w:tab/>
        </w:r>
        <w:r w:rsidR="008B6061">
          <w:rPr>
            <w:noProof/>
            <w:webHidden/>
          </w:rPr>
          <w:fldChar w:fldCharType="begin"/>
        </w:r>
        <w:r w:rsidR="008B6061">
          <w:rPr>
            <w:noProof/>
            <w:webHidden/>
          </w:rPr>
          <w:instrText xml:space="preserve"> PAGEREF _Toc448251167 \h </w:instrText>
        </w:r>
        <w:r w:rsidR="008B6061">
          <w:rPr>
            <w:noProof/>
            <w:webHidden/>
          </w:rPr>
        </w:r>
        <w:r w:rsidR="008B6061">
          <w:rPr>
            <w:noProof/>
            <w:webHidden/>
          </w:rPr>
          <w:fldChar w:fldCharType="separate"/>
        </w:r>
        <w:r w:rsidR="00156D5A">
          <w:rPr>
            <w:noProof/>
            <w:webHidden/>
          </w:rPr>
          <w:t>50</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68" w:history="1">
        <w:r w:rsidR="008B6061" w:rsidRPr="0041705A">
          <w:rPr>
            <w:rStyle w:val="aa"/>
            <w:b/>
            <w:i/>
            <w:noProof/>
          </w:rPr>
          <w:t>4.7. Конкуренты эмитента</w:t>
        </w:r>
        <w:r w:rsidR="008B6061">
          <w:rPr>
            <w:noProof/>
            <w:webHidden/>
          </w:rPr>
          <w:tab/>
        </w:r>
        <w:r w:rsidR="008B6061">
          <w:rPr>
            <w:noProof/>
            <w:webHidden/>
          </w:rPr>
          <w:fldChar w:fldCharType="begin"/>
        </w:r>
        <w:r w:rsidR="008B6061">
          <w:rPr>
            <w:noProof/>
            <w:webHidden/>
          </w:rPr>
          <w:instrText xml:space="preserve"> PAGEREF _Toc448251168 \h </w:instrText>
        </w:r>
        <w:r w:rsidR="008B6061">
          <w:rPr>
            <w:noProof/>
            <w:webHidden/>
          </w:rPr>
        </w:r>
        <w:r w:rsidR="008B6061">
          <w:rPr>
            <w:noProof/>
            <w:webHidden/>
          </w:rPr>
          <w:fldChar w:fldCharType="separate"/>
        </w:r>
        <w:r w:rsidR="00156D5A">
          <w:rPr>
            <w:noProof/>
            <w:webHidden/>
          </w:rPr>
          <w:t>53</w:t>
        </w:r>
        <w:r w:rsidR="008B6061">
          <w:rPr>
            <w:noProof/>
            <w:webHidden/>
          </w:rPr>
          <w:fldChar w:fldCharType="end"/>
        </w:r>
      </w:hyperlink>
    </w:p>
    <w:p w:rsidR="008B6061" w:rsidRDefault="00967F08" w:rsidP="008B6061">
      <w:pPr>
        <w:pStyle w:val="12"/>
        <w:rPr>
          <w:rFonts w:eastAsiaTheme="minorEastAsia" w:cstheme="minorBidi"/>
          <w:sz w:val="22"/>
          <w:szCs w:val="22"/>
        </w:rPr>
      </w:pPr>
      <w:hyperlink w:anchor="_Toc448251169" w:history="1">
        <w:r w:rsidR="008B6061" w:rsidRPr="0041705A">
          <w:rPr>
            <w:rStyle w:val="aa"/>
          </w:rPr>
          <w:t>Раздел V. Подробные сведения о лицах, входящих в состав органов управления эмитента, органов эмитента по контролю за его финансово-хозяйственной деятельностью, и краткие сведения о сотрудниках (работниках) эмитента</w:t>
        </w:r>
        <w:r w:rsidR="008B6061">
          <w:rPr>
            <w:webHidden/>
          </w:rPr>
          <w:tab/>
        </w:r>
        <w:r w:rsidR="008B6061">
          <w:rPr>
            <w:webHidden/>
          </w:rPr>
          <w:fldChar w:fldCharType="begin"/>
        </w:r>
        <w:r w:rsidR="008B6061">
          <w:rPr>
            <w:webHidden/>
          </w:rPr>
          <w:instrText xml:space="preserve"> PAGEREF _Toc448251169 \h </w:instrText>
        </w:r>
        <w:r w:rsidR="008B6061">
          <w:rPr>
            <w:webHidden/>
          </w:rPr>
        </w:r>
        <w:r w:rsidR="008B6061">
          <w:rPr>
            <w:webHidden/>
          </w:rPr>
          <w:fldChar w:fldCharType="separate"/>
        </w:r>
        <w:r w:rsidR="00156D5A">
          <w:rPr>
            <w:webHidden/>
          </w:rPr>
          <w:t>54</w:t>
        </w:r>
        <w:r w:rsidR="008B6061">
          <w:rPr>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70" w:history="1">
        <w:r w:rsidR="008B6061" w:rsidRPr="0041705A">
          <w:rPr>
            <w:rStyle w:val="aa"/>
            <w:b/>
            <w:i/>
            <w:noProof/>
          </w:rPr>
          <w:t>5.1. Сведения о структуре и компетенции органов управления эмитента</w:t>
        </w:r>
        <w:r w:rsidR="008B6061">
          <w:rPr>
            <w:noProof/>
            <w:webHidden/>
          </w:rPr>
          <w:tab/>
        </w:r>
        <w:r w:rsidR="008B6061">
          <w:rPr>
            <w:noProof/>
            <w:webHidden/>
          </w:rPr>
          <w:fldChar w:fldCharType="begin"/>
        </w:r>
        <w:r w:rsidR="008B6061">
          <w:rPr>
            <w:noProof/>
            <w:webHidden/>
          </w:rPr>
          <w:instrText xml:space="preserve"> PAGEREF _Toc448251170 \h </w:instrText>
        </w:r>
        <w:r w:rsidR="008B6061">
          <w:rPr>
            <w:noProof/>
            <w:webHidden/>
          </w:rPr>
        </w:r>
        <w:r w:rsidR="008B6061">
          <w:rPr>
            <w:noProof/>
            <w:webHidden/>
          </w:rPr>
          <w:fldChar w:fldCharType="separate"/>
        </w:r>
        <w:r w:rsidR="00156D5A">
          <w:rPr>
            <w:noProof/>
            <w:webHidden/>
          </w:rPr>
          <w:t>54</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71" w:history="1">
        <w:r w:rsidR="008B6061" w:rsidRPr="0041705A">
          <w:rPr>
            <w:rStyle w:val="aa"/>
            <w:b/>
            <w:i/>
            <w:noProof/>
          </w:rPr>
          <w:t>5.2. Информация о лицах, входящих в состав органов управления эмитента</w:t>
        </w:r>
        <w:r w:rsidR="008B6061">
          <w:rPr>
            <w:noProof/>
            <w:webHidden/>
          </w:rPr>
          <w:tab/>
        </w:r>
        <w:r w:rsidR="008B6061">
          <w:rPr>
            <w:noProof/>
            <w:webHidden/>
          </w:rPr>
          <w:fldChar w:fldCharType="begin"/>
        </w:r>
        <w:r w:rsidR="008B6061">
          <w:rPr>
            <w:noProof/>
            <w:webHidden/>
          </w:rPr>
          <w:instrText xml:space="preserve"> PAGEREF _Toc448251171 \h </w:instrText>
        </w:r>
        <w:r w:rsidR="008B6061">
          <w:rPr>
            <w:noProof/>
            <w:webHidden/>
          </w:rPr>
        </w:r>
        <w:r w:rsidR="008B6061">
          <w:rPr>
            <w:noProof/>
            <w:webHidden/>
          </w:rPr>
          <w:fldChar w:fldCharType="separate"/>
        </w:r>
        <w:r w:rsidR="00156D5A">
          <w:rPr>
            <w:noProof/>
            <w:webHidden/>
          </w:rPr>
          <w:t>54</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72" w:history="1">
        <w:r w:rsidR="008B6061" w:rsidRPr="0041705A">
          <w:rPr>
            <w:rStyle w:val="aa"/>
            <w:b/>
            <w:i/>
            <w:noProof/>
          </w:rPr>
          <w:t>5.3. Сведения о размере вознаграждения, льгот и (или) компенсации расходов по каждому органу управления эмитента</w:t>
        </w:r>
        <w:r w:rsidR="008B6061">
          <w:rPr>
            <w:noProof/>
            <w:webHidden/>
          </w:rPr>
          <w:tab/>
        </w:r>
        <w:r w:rsidR="008B6061">
          <w:rPr>
            <w:noProof/>
            <w:webHidden/>
          </w:rPr>
          <w:fldChar w:fldCharType="begin"/>
        </w:r>
        <w:r w:rsidR="008B6061">
          <w:rPr>
            <w:noProof/>
            <w:webHidden/>
          </w:rPr>
          <w:instrText xml:space="preserve"> PAGEREF _Toc448251172 \h </w:instrText>
        </w:r>
        <w:r w:rsidR="008B6061">
          <w:rPr>
            <w:noProof/>
            <w:webHidden/>
          </w:rPr>
        </w:r>
        <w:r w:rsidR="008B6061">
          <w:rPr>
            <w:noProof/>
            <w:webHidden/>
          </w:rPr>
          <w:fldChar w:fldCharType="separate"/>
        </w:r>
        <w:r w:rsidR="00156D5A">
          <w:rPr>
            <w:noProof/>
            <w:webHidden/>
          </w:rPr>
          <w:t>70</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73" w:history="1">
        <w:r w:rsidR="008B6061" w:rsidRPr="0041705A">
          <w:rPr>
            <w:rStyle w:val="aa"/>
            <w:b/>
            <w:i/>
            <w:noProof/>
          </w:rPr>
          <w:t>5.4. Сведения о структуре и компетенции органов контроля за финансово-хозяйственной деятельностью эмитента, а также об организации системы управления рисками и внутреннего контроля</w:t>
        </w:r>
        <w:r w:rsidR="008B6061">
          <w:rPr>
            <w:noProof/>
            <w:webHidden/>
          </w:rPr>
          <w:tab/>
        </w:r>
        <w:r w:rsidR="008B6061">
          <w:rPr>
            <w:noProof/>
            <w:webHidden/>
          </w:rPr>
          <w:fldChar w:fldCharType="begin"/>
        </w:r>
        <w:r w:rsidR="008B6061">
          <w:rPr>
            <w:noProof/>
            <w:webHidden/>
          </w:rPr>
          <w:instrText xml:space="preserve"> PAGEREF _Toc448251173 \h </w:instrText>
        </w:r>
        <w:r w:rsidR="008B6061">
          <w:rPr>
            <w:noProof/>
            <w:webHidden/>
          </w:rPr>
        </w:r>
        <w:r w:rsidR="008B6061">
          <w:rPr>
            <w:noProof/>
            <w:webHidden/>
          </w:rPr>
          <w:fldChar w:fldCharType="separate"/>
        </w:r>
        <w:r w:rsidR="00156D5A">
          <w:rPr>
            <w:noProof/>
            <w:webHidden/>
          </w:rPr>
          <w:t>70</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74" w:history="1">
        <w:r w:rsidR="008B6061" w:rsidRPr="0041705A">
          <w:rPr>
            <w:rStyle w:val="aa"/>
            <w:b/>
            <w:i/>
            <w:noProof/>
          </w:rPr>
          <w:t>5.5. Информация о лицах, входящих в состав органов контроля за финансово-хозяйственной деятельностью эмитента</w:t>
        </w:r>
        <w:r w:rsidR="008B6061">
          <w:rPr>
            <w:noProof/>
            <w:webHidden/>
          </w:rPr>
          <w:tab/>
        </w:r>
        <w:r w:rsidR="008B6061">
          <w:rPr>
            <w:noProof/>
            <w:webHidden/>
          </w:rPr>
          <w:fldChar w:fldCharType="begin"/>
        </w:r>
        <w:r w:rsidR="008B6061">
          <w:rPr>
            <w:noProof/>
            <w:webHidden/>
          </w:rPr>
          <w:instrText xml:space="preserve"> PAGEREF _Toc448251174 \h </w:instrText>
        </w:r>
        <w:r w:rsidR="008B6061">
          <w:rPr>
            <w:noProof/>
            <w:webHidden/>
          </w:rPr>
        </w:r>
        <w:r w:rsidR="008B6061">
          <w:rPr>
            <w:noProof/>
            <w:webHidden/>
          </w:rPr>
          <w:fldChar w:fldCharType="separate"/>
        </w:r>
        <w:r w:rsidR="00156D5A">
          <w:rPr>
            <w:noProof/>
            <w:webHidden/>
          </w:rPr>
          <w:t>70</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75" w:history="1">
        <w:r w:rsidR="008B6061" w:rsidRPr="0041705A">
          <w:rPr>
            <w:rStyle w:val="aa"/>
            <w:b/>
            <w:i/>
            <w:noProof/>
          </w:rPr>
          <w:t>5.6. Сведения о размере вознаграждения и (или) компенсации расходов по органу контроля за финансово-хозяйственной деятельностью эмитента</w:t>
        </w:r>
        <w:r w:rsidR="008B6061">
          <w:rPr>
            <w:noProof/>
            <w:webHidden/>
          </w:rPr>
          <w:tab/>
        </w:r>
        <w:r w:rsidR="008B6061">
          <w:rPr>
            <w:noProof/>
            <w:webHidden/>
          </w:rPr>
          <w:fldChar w:fldCharType="begin"/>
        </w:r>
        <w:r w:rsidR="008B6061">
          <w:rPr>
            <w:noProof/>
            <w:webHidden/>
          </w:rPr>
          <w:instrText xml:space="preserve"> PAGEREF _Toc448251175 \h </w:instrText>
        </w:r>
        <w:r w:rsidR="008B6061">
          <w:rPr>
            <w:noProof/>
            <w:webHidden/>
          </w:rPr>
        </w:r>
        <w:r w:rsidR="008B6061">
          <w:rPr>
            <w:noProof/>
            <w:webHidden/>
          </w:rPr>
          <w:fldChar w:fldCharType="separate"/>
        </w:r>
        <w:r w:rsidR="00156D5A">
          <w:rPr>
            <w:noProof/>
            <w:webHidden/>
          </w:rPr>
          <w:t>70</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76" w:history="1">
        <w:r w:rsidR="008B6061" w:rsidRPr="0041705A">
          <w:rPr>
            <w:rStyle w:val="aa"/>
            <w:b/>
            <w:i/>
            <w:noProof/>
          </w:rPr>
          <w:t>5.7. Данные о численности и обобщенные данные о составе сотрудников (работников) эмитента, а также об изменении численности сотрудников (работников) эмитента</w:t>
        </w:r>
        <w:r w:rsidR="008B6061">
          <w:rPr>
            <w:noProof/>
            <w:webHidden/>
          </w:rPr>
          <w:tab/>
        </w:r>
        <w:r w:rsidR="008B6061">
          <w:rPr>
            <w:noProof/>
            <w:webHidden/>
          </w:rPr>
          <w:fldChar w:fldCharType="begin"/>
        </w:r>
        <w:r w:rsidR="008B6061">
          <w:rPr>
            <w:noProof/>
            <w:webHidden/>
          </w:rPr>
          <w:instrText xml:space="preserve"> PAGEREF _Toc448251176 \h </w:instrText>
        </w:r>
        <w:r w:rsidR="008B6061">
          <w:rPr>
            <w:noProof/>
            <w:webHidden/>
          </w:rPr>
        </w:r>
        <w:r w:rsidR="008B6061">
          <w:rPr>
            <w:noProof/>
            <w:webHidden/>
          </w:rPr>
          <w:fldChar w:fldCharType="separate"/>
        </w:r>
        <w:r w:rsidR="00156D5A">
          <w:rPr>
            <w:noProof/>
            <w:webHidden/>
          </w:rPr>
          <w:t>70</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77" w:history="1">
        <w:r w:rsidR="008B6061" w:rsidRPr="0041705A">
          <w:rPr>
            <w:rStyle w:val="aa"/>
            <w:b/>
            <w:i/>
            <w:noProof/>
          </w:rPr>
          <w:t>5.8. Сведения о любых обязательствах эмитента перед сотрудниками (работниками), касающихся возможности их участия в уставном капитале эмитента</w:t>
        </w:r>
        <w:r w:rsidR="008B6061">
          <w:rPr>
            <w:noProof/>
            <w:webHidden/>
          </w:rPr>
          <w:tab/>
        </w:r>
        <w:r w:rsidR="008B6061">
          <w:rPr>
            <w:noProof/>
            <w:webHidden/>
          </w:rPr>
          <w:fldChar w:fldCharType="begin"/>
        </w:r>
        <w:r w:rsidR="008B6061">
          <w:rPr>
            <w:noProof/>
            <w:webHidden/>
          </w:rPr>
          <w:instrText xml:space="preserve"> PAGEREF _Toc448251177 \h </w:instrText>
        </w:r>
        <w:r w:rsidR="008B6061">
          <w:rPr>
            <w:noProof/>
            <w:webHidden/>
          </w:rPr>
        </w:r>
        <w:r w:rsidR="008B6061">
          <w:rPr>
            <w:noProof/>
            <w:webHidden/>
          </w:rPr>
          <w:fldChar w:fldCharType="separate"/>
        </w:r>
        <w:r w:rsidR="00156D5A">
          <w:rPr>
            <w:noProof/>
            <w:webHidden/>
          </w:rPr>
          <w:t>70</w:t>
        </w:r>
        <w:r w:rsidR="008B6061">
          <w:rPr>
            <w:noProof/>
            <w:webHidden/>
          </w:rPr>
          <w:fldChar w:fldCharType="end"/>
        </w:r>
      </w:hyperlink>
    </w:p>
    <w:p w:rsidR="008B6061" w:rsidRDefault="00967F08" w:rsidP="008B6061">
      <w:pPr>
        <w:pStyle w:val="12"/>
        <w:rPr>
          <w:rFonts w:eastAsiaTheme="minorEastAsia" w:cstheme="minorBidi"/>
          <w:sz w:val="22"/>
          <w:szCs w:val="22"/>
        </w:rPr>
      </w:pPr>
      <w:hyperlink w:anchor="_Toc448251178" w:history="1">
        <w:r w:rsidR="008B6061" w:rsidRPr="0041705A">
          <w:rPr>
            <w:rStyle w:val="aa"/>
          </w:rPr>
          <w:t>Раздел VI. Сведения об участниках (акционерах) эмитента и о совершенных эмитентом сделках, в совершении которых имелась заинтересованность</w:t>
        </w:r>
        <w:r w:rsidR="008B6061">
          <w:rPr>
            <w:webHidden/>
          </w:rPr>
          <w:tab/>
        </w:r>
        <w:r w:rsidR="008B6061">
          <w:rPr>
            <w:webHidden/>
          </w:rPr>
          <w:fldChar w:fldCharType="begin"/>
        </w:r>
        <w:r w:rsidR="008B6061">
          <w:rPr>
            <w:webHidden/>
          </w:rPr>
          <w:instrText xml:space="preserve"> PAGEREF _Toc448251178 \h </w:instrText>
        </w:r>
        <w:r w:rsidR="008B6061">
          <w:rPr>
            <w:webHidden/>
          </w:rPr>
        </w:r>
        <w:r w:rsidR="008B6061">
          <w:rPr>
            <w:webHidden/>
          </w:rPr>
          <w:fldChar w:fldCharType="separate"/>
        </w:r>
        <w:r w:rsidR="00156D5A">
          <w:rPr>
            <w:webHidden/>
          </w:rPr>
          <w:t>71</w:t>
        </w:r>
        <w:r w:rsidR="008B6061">
          <w:rPr>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79" w:history="1">
        <w:r w:rsidR="008B6061" w:rsidRPr="0041705A">
          <w:rPr>
            <w:rStyle w:val="aa"/>
            <w:b/>
            <w:i/>
            <w:noProof/>
          </w:rPr>
          <w:t>6.1. Сведения об общем количестве акционеров (участников) эмитента</w:t>
        </w:r>
        <w:r w:rsidR="008B6061">
          <w:rPr>
            <w:noProof/>
            <w:webHidden/>
          </w:rPr>
          <w:tab/>
        </w:r>
        <w:r w:rsidR="008B6061">
          <w:rPr>
            <w:noProof/>
            <w:webHidden/>
          </w:rPr>
          <w:fldChar w:fldCharType="begin"/>
        </w:r>
        <w:r w:rsidR="008B6061">
          <w:rPr>
            <w:noProof/>
            <w:webHidden/>
          </w:rPr>
          <w:instrText xml:space="preserve"> PAGEREF _Toc448251179 \h </w:instrText>
        </w:r>
        <w:r w:rsidR="008B6061">
          <w:rPr>
            <w:noProof/>
            <w:webHidden/>
          </w:rPr>
        </w:r>
        <w:r w:rsidR="008B6061">
          <w:rPr>
            <w:noProof/>
            <w:webHidden/>
          </w:rPr>
          <w:fldChar w:fldCharType="separate"/>
        </w:r>
        <w:r w:rsidR="00156D5A">
          <w:rPr>
            <w:noProof/>
            <w:webHidden/>
          </w:rPr>
          <w:t>71</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80" w:history="1">
        <w:r w:rsidR="008B6061" w:rsidRPr="0041705A">
          <w:rPr>
            <w:rStyle w:val="aa"/>
            <w:b/>
            <w:i/>
            <w:noProof/>
          </w:rPr>
          <w:t>6.2. Сведения об участниках (акционерах) эмитента, владеющих не менее чем пятью процентами его уставного капитала или не менее чем пятью процентами его обыкновенных акций, а также сведения о контролирующих их лицах, а в случае отсутствия таких лиц - об участниках (акционерах), владеющих не менее чем 20 процентами уставного капитала или не менее чем 20 процентами их обыкновенных акций таких участников (акционеров) эмитента</w:t>
        </w:r>
        <w:r w:rsidR="008B6061">
          <w:rPr>
            <w:noProof/>
            <w:webHidden/>
          </w:rPr>
          <w:tab/>
        </w:r>
        <w:r w:rsidR="008B6061">
          <w:rPr>
            <w:noProof/>
            <w:webHidden/>
          </w:rPr>
          <w:fldChar w:fldCharType="begin"/>
        </w:r>
        <w:r w:rsidR="008B6061">
          <w:rPr>
            <w:noProof/>
            <w:webHidden/>
          </w:rPr>
          <w:instrText xml:space="preserve"> PAGEREF _Toc448251180 \h </w:instrText>
        </w:r>
        <w:r w:rsidR="008B6061">
          <w:rPr>
            <w:noProof/>
            <w:webHidden/>
          </w:rPr>
        </w:r>
        <w:r w:rsidR="008B6061">
          <w:rPr>
            <w:noProof/>
            <w:webHidden/>
          </w:rPr>
          <w:fldChar w:fldCharType="separate"/>
        </w:r>
        <w:r w:rsidR="00156D5A">
          <w:rPr>
            <w:noProof/>
            <w:webHidden/>
          </w:rPr>
          <w:t>71</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81" w:history="1">
        <w:r w:rsidR="008B6061" w:rsidRPr="0041705A">
          <w:rPr>
            <w:rStyle w:val="aa"/>
            <w:b/>
            <w:i/>
            <w:noProof/>
          </w:rPr>
          <w:t>6.3. Сведения о доле участия государства или муниципального образования в уставном капитале эмитента, наличии специального права ("золотой акции")</w:t>
        </w:r>
        <w:r w:rsidR="008B6061">
          <w:rPr>
            <w:noProof/>
            <w:webHidden/>
          </w:rPr>
          <w:tab/>
        </w:r>
        <w:r w:rsidR="008B6061">
          <w:rPr>
            <w:noProof/>
            <w:webHidden/>
          </w:rPr>
          <w:fldChar w:fldCharType="begin"/>
        </w:r>
        <w:r w:rsidR="008B6061">
          <w:rPr>
            <w:noProof/>
            <w:webHidden/>
          </w:rPr>
          <w:instrText xml:space="preserve"> PAGEREF _Toc448251181 \h </w:instrText>
        </w:r>
        <w:r w:rsidR="008B6061">
          <w:rPr>
            <w:noProof/>
            <w:webHidden/>
          </w:rPr>
        </w:r>
        <w:r w:rsidR="008B6061">
          <w:rPr>
            <w:noProof/>
            <w:webHidden/>
          </w:rPr>
          <w:fldChar w:fldCharType="separate"/>
        </w:r>
        <w:r w:rsidR="00156D5A">
          <w:rPr>
            <w:noProof/>
            <w:webHidden/>
          </w:rPr>
          <w:t>71</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82" w:history="1">
        <w:r w:rsidR="008B6061" w:rsidRPr="0041705A">
          <w:rPr>
            <w:rStyle w:val="aa"/>
            <w:b/>
            <w:i/>
            <w:noProof/>
          </w:rPr>
          <w:t>6.4. Сведения об ограничениях на участие в уставном капитале эмитента</w:t>
        </w:r>
        <w:r w:rsidR="008B6061">
          <w:rPr>
            <w:noProof/>
            <w:webHidden/>
          </w:rPr>
          <w:tab/>
        </w:r>
        <w:r w:rsidR="008B6061">
          <w:rPr>
            <w:noProof/>
            <w:webHidden/>
          </w:rPr>
          <w:fldChar w:fldCharType="begin"/>
        </w:r>
        <w:r w:rsidR="008B6061">
          <w:rPr>
            <w:noProof/>
            <w:webHidden/>
          </w:rPr>
          <w:instrText xml:space="preserve"> PAGEREF _Toc448251182 \h </w:instrText>
        </w:r>
        <w:r w:rsidR="008B6061">
          <w:rPr>
            <w:noProof/>
            <w:webHidden/>
          </w:rPr>
        </w:r>
        <w:r w:rsidR="008B6061">
          <w:rPr>
            <w:noProof/>
            <w:webHidden/>
          </w:rPr>
          <w:fldChar w:fldCharType="separate"/>
        </w:r>
        <w:r w:rsidR="00156D5A">
          <w:rPr>
            <w:noProof/>
            <w:webHidden/>
          </w:rPr>
          <w:t>71</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83" w:history="1">
        <w:r w:rsidR="008B6061" w:rsidRPr="0041705A">
          <w:rPr>
            <w:rStyle w:val="aa"/>
            <w:b/>
            <w:i/>
            <w:noProof/>
          </w:rPr>
          <w:t>6.5. Сведения об изменениях в составе и размере участия участников (акционеров) эмитента, владеющих не менее чем пятью процентами его уставного капитала или не менее чем пятью процентами его обыкновенных акций</w:t>
        </w:r>
        <w:r w:rsidR="008B6061">
          <w:rPr>
            <w:noProof/>
            <w:webHidden/>
          </w:rPr>
          <w:tab/>
        </w:r>
        <w:r w:rsidR="008B6061">
          <w:rPr>
            <w:noProof/>
            <w:webHidden/>
          </w:rPr>
          <w:fldChar w:fldCharType="begin"/>
        </w:r>
        <w:r w:rsidR="008B6061">
          <w:rPr>
            <w:noProof/>
            <w:webHidden/>
          </w:rPr>
          <w:instrText xml:space="preserve"> PAGEREF _Toc448251183 \h </w:instrText>
        </w:r>
        <w:r w:rsidR="008B6061">
          <w:rPr>
            <w:noProof/>
            <w:webHidden/>
          </w:rPr>
        </w:r>
        <w:r w:rsidR="008B6061">
          <w:rPr>
            <w:noProof/>
            <w:webHidden/>
          </w:rPr>
          <w:fldChar w:fldCharType="separate"/>
        </w:r>
        <w:r w:rsidR="00156D5A">
          <w:rPr>
            <w:noProof/>
            <w:webHidden/>
          </w:rPr>
          <w:t>71</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84" w:history="1">
        <w:r w:rsidR="008B6061" w:rsidRPr="0041705A">
          <w:rPr>
            <w:rStyle w:val="aa"/>
            <w:b/>
            <w:i/>
            <w:noProof/>
          </w:rPr>
          <w:t>6.6. Сведения о совершенных эмитентом сделках, в совершении которых имелась заинтересованность</w:t>
        </w:r>
        <w:r w:rsidR="008B6061">
          <w:rPr>
            <w:noProof/>
            <w:webHidden/>
          </w:rPr>
          <w:tab/>
        </w:r>
        <w:r w:rsidR="008B6061">
          <w:rPr>
            <w:noProof/>
            <w:webHidden/>
          </w:rPr>
          <w:fldChar w:fldCharType="begin"/>
        </w:r>
        <w:r w:rsidR="008B6061">
          <w:rPr>
            <w:noProof/>
            <w:webHidden/>
          </w:rPr>
          <w:instrText xml:space="preserve"> PAGEREF _Toc448251184 \h </w:instrText>
        </w:r>
        <w:r w:rsidR="008B6061">
          <w:rPr>
            <w:noProof/>
            <w:webHidden/>
          </w:rPr>
        </w:r>
        <w:r w:rsidR="008B6061">
          <w:rPr>
            <w:noProof/>
            <w:webHidden/>
          </w:rPr>
          <w:fldChar w:fldCharType="separate"/>
        </w:r>
        <w:r w:rsidR="00156D5A">
          <w:rPr>
            <w:noProof/>
            <w:webHidden/>
          </w:rPr>
          <w:t>72</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85" w:history="1">
        <w:r w:rsidR="008B6061" w:rsidRPr="0041705A">
          <w:rPr>
            <w:rStyle w:val="aa"/>
            <w:b/>
            <w:i/>
            <w:noProof/>
          </w:rPr>
          <w:t>6.7. Сведения о размере дебиторской задолженности</w:t>
        </w:r>
        <w:r w:rsidR="008B6061">
          <w:rPr>
            <w:noProof/>
            <w:webHidden/>
          </w:rPr>
          <w:tab/>
        </w:r>
        <w:r w:rsidR="008B6061">
          <w:rPr>
            <w:noProof/>
            <w:webHidden/>
          </w:rPr>
          <w:fldChar w:fldCharType="begin"/>
        </w:r>
        <w:r w:rsidR="008B6061">
          <w:rPr>
            <w:noProof/>
            <w:webHidden/>
          </w:rPr>
          <w:instrText xml:space="preserve"> PAGEREF _Toc448251185 \h </w:instrText>
        </w:r>
        <w:r w:rsidR="008B6061">
          <w:rPr>
            <w:noProof/>
            <w:webHidden/>
          </w:rPr>
        </w:r>
        <w:r w:rsidR="008B6061">
          <w:rPr>
            <w:noProof/>
            <w:webHidden/>
          </w:rPr>
          <w:fldChar w:fldCharType="separate"/>
        </w:r>
        <w:r w:rsidR="00156D5A">
          <w:rPr>
            <w:noProof/>
            <w:webHidden/>
          </w:rPr>
          <w:t>72</w:t>
        </w:r>
        <w:r w:rsidR="008B6061">
          <w:rPr>
            <w:noProof/>
            <w:webHidden/>
          </w:rPr>
          <w:fldChar w:fldCharType="end"/>
        </w:r>
      </w:hyperlink>
    </w:p>
    <w:p w:rsidR="008B6061" w:rsidRDefault="00967F08" w:rsidP="008B6061">
      <w:pPr>
        <w:pStyle w:val="12"/>
        <w:rPr>
          <w:rFonts w:eastAsiaTheme="minorEastAsia" w:cstheme="minorBidi"/>
          <w:sz w:val="22"/>
          <w:szCs w:val="22"/>
        </w:rPr>
      </w:pPr>
      <w:hyperlink w:anchor="_Toc448251186" w:history="1">
        <w:r w:rsidR="008B6061" w:rsidRPr="0041705A">
          <w:rPr>
            <w:rStyle w:val="aa"/>
          </w:rPr>
          <w:t>Раздел VII. Бухгалтерская (финансовая) отчетность эмитента и иная финансовая информация</w:t>
        </w:r>
        <w:r w:rsidR="008B6061">
          <w:rPr>
            <w:webHidden/>
          </w:rPr>
          <w:tab/>
        </w:r>
        <w:r w:rsidR="008B6061">
          <w:rPr>
            <w:webHidden/>
          </w:rPr>
          <w:fldChar w:fldCharType="begin"/>
        </w:r>
        <w:r w:rsidR="008B6061">
          <w:rPr>
            <w:webHidden/>
          </w:rPr>
          <w:instrText xml:space="preserve"> PAGEREF _Toc448251186 \h </w:instrText>
        </w:r>
        <w:r w:rsidR="008B6061">
          <w:rPr>
            <w:webHidden/>
          </w:rPr>
        </w:r>
        <w:r w:rsidR="008B6061">
          <w:rPr>
            <w:webHidden/>
          </w:rPr>
          <w:fldChar w:fldCharType="separate"/>
        </w:r>
        <w:r w:rsidR="00156D5A">
          <w:rPr>
            <w:webHidden/>
          </w:rPr>
          <w:t>73</w:t>
        </w:r>
        <w:r w:rsidR="008B6061">
          <w:rPr>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87" w:history="1">
        <w:r w:rsidR="008B6061" w:rsidRPr="0041705A">
          <w:rPr>
            <w:rStyle w:val="aa"/>
            <w:b/>
            <w:i/>
            <w:noProof/>
          </w:rPr>
          <w:t>7.1. Годовая бухгалтерская (финансовая) отчетность эмитента</w:t>
        </w:r>
        <w:r w:rsidR="008B6061">
          <w:rPr>
            <w:noProof/>
            <w:webHidden/>
          </w:rPr>
          <w:tab/>
        </w:r>
        <w:r w:rsidR="008B6061">
          <w:rPr>
            <w:noProof/>
            <w:webHidden/>
          </w:rPr>
          <w:fldChar w:fldCharType="begin"/>
        </w:r>
        <w:r w:rsidR="008B6061">
          <w:rPr>
            <w:noProof/>
            <w:webHidden/>
          </w:rPr>
          <w:instrText xml:space="preserve"> PAGEREF _Toc448251187 \h </w:instrText>
        </w:r>
        <w:r w:rsidR="008B6061">
          <w:rPr>
            <w:noProof/>
            <w:webHidden/>
          </w:rPr>
        </w:r>
        <w:r w:rsidR="008B6061">
          <w:rPr>
            <w:noProof/>
            <w:webHidden/>
          </w:rPr>
          <w:fldChar w:fldCharType="separate"/>
        </w:r>
        <w:r w:rsidR="00156D5A">
          <w:rPr>
            <w:noProof/>
            <w:webHidden/>
          </w:rPr>
          <w:t>73</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88" w:history="1">
        <w:r w:rsidR="008B6061" w:rsidRPr="0041705A">
          <w:rPr>
            <w:rStyle w:val="aa"/>
            <w:b/>
            <w:i/>
            <w:noProof/>
          </w:rPr>
          <w:t>7.2. Промежуточная бухгалтерская (финансовая) отчетность эмитента</w:t>
        </w:r>
        <w:r w:rsidR="008B6061">
          <w:rPr>
            <w:noProof/>
            <w:webHidden/>
          </w:rPr>
          <w:tab/>
        </w:r>
        <w:r w:rsidR="008B6061">
          <w:rPr>
            <w:noProof/>
            <w:webHidden/>
          </w:rPr>
          <w:fldChar w:fldCharType="begin"/>
        </w:r>
        <w:r w:rsidR="008B6061">
          <w:rPr>
            <w:noProof/>
            <w:webHidden/>
          </w:rPr>
          <w:instrText xml:space="preserve"> PAGEREF _Toc448251188 \h </w:instrText>
        </w:r>
        <w:r w:rsidR="008B6061">
          <w:rPr>
            <w:noProof/>
            <w:webHidden/>
          </w:rPr>
        </w:r>
        <w:r w:rsidR="008B6061">
          <w:rPr>
            <w:noProof/>
            <w:webHidden/>
          </w:rPr>
          <w:fldChar w:fldCharType="separate"/>
        </w:r>
        <w:r w:rsidR="00156D5A">
          <w:rPr>
            <w:noProof/>
            <w:webHidden/>
          </w:rPr>
          <w:t>74</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89" w:history="1">
        <w:r w:rsidR="008B6061" w:rsidRPr="0041705A">
          <w:rPr>
            <w:rStyle w:val="aa"/>
            <w:b/>
            <w:i/>
            <w:noProof/>
          </w:rPr>
          <w:t>7.3. Консолидированная финансовая отчетность эмитента</w:t>
        </w:r>
        <w:r w:rsidR="008B6061">
          <w:rPr>
            <w:noProof/>
            <w:webHidden/>
          </w:rPr>
          <w:tab/>
        </w:r>
        <w:r w:rsidR="008B6061">
          <w:rPr>
            <w:noProof/>
            <w:webHidden/>
          </w:rPr>
          <w:fldChar w:fldCharType="begin"/>
        </w:r>
        <w:r w:rsidR="008B6061">
          <w:rPr>
            <w:noProof/>
            <w:webHidden/>
          </w:rPr>
          <w:instrText xml:space="preserve"> PAGEREF _Toc448251189 \h </w:instrText>
        </w:r>
        <w:r w:rsidR="008B6061">
          <w:rPr>
            <w:noProof/>
            <w:webHidden/>
          </w:rPr>
        </w:r>
        <w:r w:rsidR="008B6061">
          <w:rPr>
            <w:noProof/>
            <w:webHidden/>
          </w:rPr>
          <w:fldChar w:fldCharType="separate"/>
        </w:r>
        <w:r w:rsidR="00156D5A">
          <w:rPr>
            <w:noProof/>
            <w:webHidden/>
          </w:rPr>
          <w:t>74</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90" w:history="1">
        <w:r w:rsidR="008B6061" w:rsidRPr="0041705A">
          <w:rPr>
            <w:rStyle w:val="aa"/>
            <w:b/>
            <w:i/>
            <w:noProof/>
          </w:rPr>
          <w:t>7.4. Сведения об учетной политике эмитента</w:t>
        </w:r>
        <w:r w:rsidR="008B6061">
          <w:rPr>
            <w:noProof/>
            <w:webHidden/>
          </w:rPr>
          <w:tab/>
        </w:r>
        <w:r w:rsidR="008B6061">
          <w:rPr>
            <w:noProof/>
            <w:webHidden/>
          </w:rPr>
          <w:fldChar w:fldCharType="begin"/>
        </w:r>
        <w:r w:rsidR="008B6061">
          <w:rPr>
            <w:noProof/>
            <w:webHidden/>
          </w:rPr>
          <w:instrText xml:space="preserve"> PAGEREF _Toc448251190 \h </w:instrText>
        </w:r>
        <w:r w:rsidR="008B6061">
          <w:rPr>
            <w:noProof/>
            <w:webHidden/>
          </w:rPr>
        </w:r>
        <w:r w:rsidR="008B6061">
          <w:rPr>
            <w:noProof/>
            <w:webHidden/>
          </w:rPr>
          <w:fldChar w:fldCharType="separate"/>
        </w:r>
        <w:r w:rsidR="00156D5A">
          <w:rPr>
            <w:noProof/>
            <w:webHidden/>
          </w:rPr>
          <w:t>75</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91" w:history="1">
        <w:r w:rsidR="008B6061" w:rsidRPr="0041705A">
          <w:rPr>
            <w:rStyle w:val="aa"/>
            <w:b/>
            <w:i/>
            <w:noProof/>
          </w:rPr>
          <w:t>7.5. Сведения об общей сумме экспорта, а также о доле, которую составляет экспорт в общем объеме продаж</w:t>
        </w:r>
        <w:r w:rsidR="008B6061">
          <w:rPr>
            <w:noProof/>
            <w:webHidden/>
          </w:rPr>
          <w:tab/>
        </w:r>
        <w:r w:rsidR="008B6061">
          <w:rPr>
            <w:noProof/>
            <w:webHidden/>
          </w:rPr>
          <w:fldChar w:fldCharType="begin"/>
        </w:r>
        <w:r w:rsidR="008B6061">
          <w:rPr>
            <w:noProof/>
            <w:webHidden/>
          </w:rPr>
          <w:instrText xml:space="preserve"> PAGEREF _Toc448251191 \h </w:instrText>
        </w:r>
        <w:r w:rsidR="008B6061">
          <w:rPr>
            <w:noProof/>
            <w:webHidden/>
          </w:rPr>
        </w:r>
        <w:r w:rsidR="008B6061">
          <w:rPr>
            <w:noProof/>
            <w:webHidden/>
          </w:rPr>
          <w:fldChar w:fldCharType="separate"/>
        </w:r>
        <w:r w:rsidR="00156D5A">
          <w:rPr>
            <w:noProof/>
            <w:webHidden/>
          </w:rPr>
          <w:t>76</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92" w:history="1">
        <w:r w:rsidR="008B6061" w:rsidRPr="0041705A">
          <w:rPr>
            <w:rStyle w:val="aa"/>
            <w:b/>
            <w:i/>
            <w:noProof/>
          </w:rPr>
          <w:t>7.6. Сведения о существенных изменениях, произошедших в составе имущества эмитента после даты окончания последнего завершенного отчетного года</w:t>
        </w:r>
        <w:r w:rsidR="008B6061">
          <w:rPr>
            <w:noProof/>
            <w:webHidden/>
          </w:rPr>
          <w:tab/>
        </w:r>
        <w:r w:rsidR="008B6061">
          <w:rPr>
            <w:noProof/>
            <w:webHidden/>
          </w:rPr>
          <w:fldChar w:fldCharType="begin"/>
        </w:r>
        <w:r w:rsidR="008B6061">
          <w:rPr>
            <w:noProof/>
            <w:webHidden/>
          </w:rPr>
          <w:instrText xml:space="preserve"> PAGEREF _Toc448251192 \h </w:instrText>
        </w:r>
        <w:r w:rsidR="008B6061">
          <w:rPr>
            <w:noProof/>
            <w:webHidden/>
          </w:rPr>
        </w:r>
        <w:r w:rsidR="008B6061">
          <w:rPr>
            <w:noProof/>
            <w:webHidden/>
          </w:rPr>
          <w:fldChar w:fldCharType="separate"/>
        </w:r>
        <w:r w:rsidR="00156D5A">
          <w:rPr>
            <w:noProof/>
            <w:webHidden/>
          </w:rPr>
          <w:t>76</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93" w:history="1">
        <w:r w:rsidR="008B6061" w:rsidRPr="0041705A">
          <w:rPr>
            <w:rStyle w:val="aa"/>
            <w:b/>
            <w:i/>
            <w:noProof/>
          </w:rPr>
          <w:t>7.7. Сведения об участии эмитента в судебных процессах в случае, если такое участие может существенно отразиться на финансово-хозяйственной деятельности эмитента</w:t>
        </w:r>
        <w:r w:rsidR="008B6061">
          <w:rPr>
            <w:noProof/>
            <w:webHidden/>
          </w:rPr>
          <w:tab/>
        </w:r>
        <w:r w:rsidR="008B6061">
          <w:rPr>
            <w:noProof/>
            <w:webHidden/>
          </w:rPr>
          <w:fldChar w:fldCharType="begin"/>
        </w:r>
        <w:r w:rsidR="008B6061">
          <w:rPr>
            <w:noProof/>
            <w:webHidden/>
          </w:rPr>
          <w:instrText xml:space="preserve"> PAGEREF _Toc448251193 \h </w:instrText>
        </w:r>
        <w:r w:rsidR="008B6061">
          <w:rPr>
            <w:noProof/>
            <w:webHidden/>
          </w:rPr>
        </w:r>
        <w:r w:rsidR="008B6061">
          <w:rPr>
            <w:noProof/>
            <w:webHidden/>
          </w:rPr>
          <w:fldChar w:fldCharType="separate"/>
        </w:r>
        <w:r w:rsidR="00156D5A">
          <w:rPr>
            <w:noProof/>
            <w:webHidden/>
          </w:rPr>
          <w:t>76</w:t>
        </w:r>
        <w:r w:rsidR="008B6061">
          <w:rPr>
            <w:noProof/>
            <w:webHidden/>
          </w:rPr>
          <w:fldChar w:fldCharType="end"/>
        </w:r>
      </w:hyperlink>
    </w:p>
    <w:p w:rsidR="008B6061" w:rsidRDefault="00967F08" w:rsidP="008B6061">
      <w:pPr>
        <w:pStyle w:val="12"/>
        <w:rPr>
          <w:rFonts w:eastAsiaTheme="minorEastAsia" w:cstheme="minorBidi"/>
          <w:sz w:val="22"/>
          <w:szCs w:val="22"/>
        </w:rPr>
      </w:pPr>
      <w:hyperlink w:anchor="_Toc448251194" w:history="1">
        <w:r w:rsidR="008B6061" w:rsidRPr="0041705A">
          <w:rPr>
            <w:rStyle w:val="aa"/>
            <w:rFonts w:ascii="Arial" w:eastAsiaTheme="minorHAnsi" w:hAnsi="Arial" w:cs="Arial"/>
            <w:lang w:eastAsia="en-US"/>
          </w:rPr>
          <w:t>Раздел VIII. Сведения о размещаемых эмиссионных ценных бумагах, а также об объеме, о сроке, об условиях и о порядке их размещения</w:t>
        </w:r>
        <w:r w:rsidR="008B6061">
          <w:rPr>
            <w:webHidden/>
          </w:rPr>
          <w:tab/>
        </w:r>
        <w:r w:rsidR="008B6061">
          <w:rPr>
            <w:webHidden/>
          </w:rPr>
          <w:fldChar w:fldCharType="begin"/>
        </w:r>
        <w:r w:rsidR="008B6061">
          <w:rPr>
            <w:webHidden/>
          </w:rPr>
          <w:instrText xml:space="preserve"> PAGEREF _Toc448251194 \h </w:instrText>
        </w:r>
        <w:r w:rsidR="008B6061">
          <w:rPr>
            <w:webHidden/>
          </w:rPr>
        </w:r>
        <w:r w:rsidR="008B6061">
          <w:rPr>
            <w:webHidden/>
          </w:rPr>
          <w:fldChar w:fldCharType="separate"/>
        </w:r>
        <w:r w:rsidR="00156D5A">
          <w:rPr>
            <w:webHidden/>
          </w:rPr>
          <w:t>77</w:t>
        </w:r>
        <w:r w:rsidR="008B6061">
          <w:rPr>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95" w:history="1">
        <w:r w:rsidR="008B6061" w:rsidRPr="0041705A">
          <w:rPr>
            <w:rStyle w:val="aa"/>
            <w:b/>
            <w:i/>
            <w:noProof/>
          </w:rPr>
          <w:t>8.1. Вид, категория (тип) ценных бумаг</w:t>
        </w:r>
        <w:r w:rsidR="008B6061">
          <w:rPr>
            <w:noProof/>
            <w:webHidden/>
          </w:rPr>
          <w:tab/>
        </w:r>
        <w:r w:rsidR="008B6061">
          <w:rPr>
            <w:noProof/>
            <w:webHidden/>
          </w:rPr>
          <w:fldChar w:fldCharType="begin"/>
        </w:r>
        <w:r w:rsidR="008B6061">
          <w:rPr>
            <w:noProof/>
            <w:webHidden/>
          </w:rPr>
          <w:instrText xml:space="preserve"> PAGEREF _Toc448251195 \h </w:instrText>
        </w:r>
        <w:r w:rsidR="008B6061">
          <w:rPr>
            <w:noProof/>
            <w:webHidden/>
          </w:rPr>
        </w:r>
        <w:r w:rsidR="008B6061">
          <w:rPr>
            <w:noProof/>
            <w:webHidden/>
          </w:rPr>
          <w:fldChar w:fldCharType="separate"/>
        </w:r>
        <w:r w:rsidR="00156D5A">
          <w:rPr>
            <w:noProof/>
            <w:webHidden/>
          </w:rPr>
          <w:t>77</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96" w:history="1">
        <w:r w:rsidR="008B6061" w:rsidRPr="0041705A">
          <w:rPr>
            <w:rStyle w:val="aa"/>
            <w:b/>
            <w:i/>
            <w:noProof/>
          </w:rPr>
          <w:t>8.2. Форма ценных бумаг</w:t>
        </w:r>
        <w:r w:rsidR="008B6061">
          <w:rPr>
            <w:noProof/>
            <w:webHidden/>
          </w:rPr>
          <w:tab/>
        </w:r>
        <w:r w:rsidR="008B6061">
          <w:rPr>
            <w:noProof/>
            <w:webHidden/>
          </w:rPr>
          <w:fldChar w:fldCharType="begin"/>
        </w:r>
        <w:r w:rsidR="008B6061">
          <w:rPr>
            <w:noProof/>
            <w:webHidden/>
          </w:rPr>
          <w:instrText xml:space="preserve"> PAGEREF _Toc448251196 \h </w:instrText>
        </w:r>
        <w:r w:rsidR="008B6061">
          <w:rPr>
            <w:noProof/>
            <w:webHidden/>
          </w:rPr>
        </w:r>
        <w:r w:rsidR="008B6061">
          <w:rPr>
            <w:noProof/>
            <w:webHidden/>
          </w:rPr>
          <w:fldChar w:fldCharType="separate"/>
        </w:r>
        <w:r w:rsidR="00156D5A">
          <w:rPr>
            <w:noProof/>
            <w:webHidden/>
          </w:rPr>
          <w:t>77</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97" w:history="1">
        <w:r w:rsidR="008B6061" w:rsidRPr="0041705A">
          <w:rPr>
            <w:rStyle w:val="aa"/>
            <w:b/>
            <w:i/>
            <w:noProof/>
          </w:rPr>
          <w:t>8.3. Указание на обязательное централизованное хранение</w:t>
        </w:r>
        <w:r w:rsidR="008B6061">
          <w:rPr>
            <w:noProof/>
            <w:webHidden/>
          </w:rPr>
          <w:tab/>
        </w:r>
        <w:r w:rsidR="008B6061">
          <w:rPr>
            <w:noProof/>
            <w:webHidden/>
          </w:rPr>
          <w:fldChar w:fldCharType="begin"/>
        </w:r>
        <w:r w:rsidR="008B6061">
          <w:rPr>
            <w:noProof/>
            <w:webHidden/>
          </w:rPr>
          <w:instrText xml:space="preserve"> PAGEREF _Toc448251197 \h </w:instrText>
        </w:r>
        <w:r w:rsidR="008B6061">
          <w:rPr>
            <w:noProof/>
            <w:webHidden/>
          </w:rPr>
        </w:r>
        <w:r w:rsidR="008B6061">
          <w:rPr>
            <w:noProof/>
            <w:webHidden/>
          </w:rPr>
          <w:fldChar w:fldCharType="separate"/>
        </w:r>
        <w:r w:rsidR="00156D5A">
          <w:rPr>
            <w:noProof/>
            <w:webHidden/>
          </w:rPr>
          <w:t>77</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98" w:history="1">
        <w:r w:rsidR="008B6061" w:rsidRPr="0041705A">
          <w:rPr>
            <w:rStyle w:val="aa"/>
            <w:b/>
            <w:i/>
            <w:noProof/>
          </w:rPr>
          <w:t>8.4. Номинальная стоимость каждой ценной бумаги выпуска (дополнительного выпуска)</w:t>
        </w:r>
        <w:r w:rsidR="008B6061">
          <w:rPr>
            <w:noProof/>
            <w:webHidden/>
          </w:rPr>
          <w:tab/>
        </w:r>
        <w:r w:rsidR="008B6061">
          <w:rPr>
            <w:noProof/>
            <w:webHidden/>
          </w:rPr>
          <w:fldChar w:fldCharType="begin"/>
        </w:r>
        <w:r w:rsidR="008B6061">
          <w:rPr>
            <w:noProof/>
            <w:webHidden/>
          </w:rPr>
          <w:instrText xml:space="preserve"> PAGEREF _Toc448251198 \h </w:instrText>
        </w:r>
        <w:r w:rsidR="008B6061">
          <w:rPr>
            <w:noProof/>
            <w:webHidden/>
          </w:rPr>
        </w:r>
        <w:r w:rsidR="008B6061">
          <w:rPr>
            <w:noProof/>
            <w:webHidden/>
          </w:rPr>
          <w:fldChar w:fldCharType="separate"/>
        </w:r>
        <w:r w:rsidR="00156D5A">
          <w:rPr>
            <w:noProof/>
            <w:webHidden/>
          </w:rPr>
          <w:t>78</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199" w:history="1">
        <w:r w:rsidR="008B6061" w:rsidRPr="0041705A">
          <w:rPr>
            <w:rStyle w:val="aa"/>
            <w:b/>
            <w:i/>
            <w:noProof/>
          </w:rPr>
          <w:t>8.5. Количество ценных бумаг выпуска (дополнительного выпуска)</w:t>
        </w:r>
        <w:r w:rsidR="008B6061">
          <w:rPr>
            <w:noProof/>
            <w:webHidden/>
          </w:rPr>
          <w:tab/>
        </w:r>
        <w:r w:rsidR="008B6061">
          <w:rPr>
            <w:noProof/>
            <w:webHidden/>
          </w:rPr>
          <w:fldChar w:fldCharType="begin"/>
        </w:r>
        <w:r w:rsidR="008B6061">
          <w:rPr>
            <w:noProof/>
            <w:webHidden/>
          </w:rPr>
          <w:instrText xml:space="preserve"> PAGEREF _Toc448251199 \h </w:instrText>
        </w:r>
        <w:r w:rsidR="008B6061">
          <w:rPr>
            <w:noProof/>
            <w:webHidden/>
          </w:rPr>
        </w:r>
        <w:r w:rsidR="008B6061">
          <w:rPr>
            <w:noProof/>
            <w:webHidden/>
          </w:rPr>
          <w:fldChar w:fldCharType="separate"/>
        </w:r>
        <w:r w:rsidR="00156D5A">
          <w:rPr>
            <w:noProof/>
            <w:webHidden/>
          </w:rPr>
          <w:t>78</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200" w:history="1">
        <w:r w:rsidR="008B6061" w:rsidRPr="0041705A">
          <w:rPr>
            <w:rStyle w:val="aa"/>
            <w:b/>
            <w:i/>
            <w:noProof/>
          </w:rPr>
          <w:t>8.6. Общее количество ценных бумаг данного выпуска, размещенных ранее</w:t>
        </w:r>
        <w:r w:rsidR="008B6061">
          <w:rPr>
            <w:noProof/>
            <w:webHidden/>
          </w:rPr>
          <w:tab/>
        </w:r>
        <w:r w:rsidR="008B6061">
          <w:rPr>
            <w:noProof/>
            <w:webHidden/>
          </w:rPr>
          <w:fldChar w:fldCharType="begin"/>
        </w:r>
        <w:r w:rsidR="008B6061">
          <w:rPr>
            <w:noProof/>
            <w:webHidden/>
          </w:rPr>
          <w:instrText xml:space="preserve"> PAGEREF _Toc448251200 \h </w:instrText>
        </w:r>
        <w:r w:rsidR="008B6061">
          <w:rPr>
            <w:noProof/>
            <w:webHidden/>
          </w:rPr>
        </w:r>
        <w:r w:rsidR="008B6061">
          <w:rPr>
            <w:noProof/>
            <w:webHidden/>
          </w:rPr>
          <w:fldChar w:fldCharType="separate"/>
        </w:r>
        <w:r w:rsidR="00156D5A">
          <w:rPr>
            <w:noProof/>
            <w:webHidden/>
          </w:rPr>
          <w:t>79</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201" w:history="1">
        <w:r w:rsidR="008B6061" w:rsidRPr="0041705A">
          <w:rPr>
            <w:rStyle w:val="aa"/>
            <w:b/>
            <w:i/>
            <w:noProof/>
          </w:rPr>
          <w:t>8.7. Права владельца каждой ценной бумаги выпуска (дополнительного выпуска)</w:t>
        </w:r>
        <w:r w:rsidR="008B6061">
          <w:rPr>
            <w:noProof/>
            <w:webHidden/>
          </w:rPr>
          <w:tab/>
        </w:r>
        <w:r w:rsidR="008B6061">
          <w:rPr>
            <w:noProof/>
            <w:webHidden/>
          </w:rPr>
          <w:fldChar w:fldCharType="begin"/>
        </w:r>
        <w:r w:rsidR="008B6061">
          <w:rPr>
            <w:noProof/>
            <w:webHidden/>
          </w:rPr>
          <w:instrText xml:space="preserve"> PAGEREF _Toc448251201 \h </w:instrText>
        </w:r>
        <w:r w:rsidR="008B6061">
          <w:rPr>
            <w:noProof/>
            <w:webHidden/>
          </w:rPr>
        </w:r>
        <w:r w:rsidR="008B6061">
          <w:rPr>
            <w:noProof/>
            <w:webHidden/>
          </w:rPr>
          <w:fldChar w:fldCharType="separate"/>
        </w:r>
        <w:r w:rsidR="00156D5A">
          <w:rPr>
            <w:noProof/>
            <w:webHidden/>
          </w:rPr>
          <w:t>79</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202" w:history="1">
        <w:r w:rsidR="008B6061" w:rsidRPr="0041705A">
          <w:rPr>
            <w:rStyle w:val="aa"/>
            <w:b/>
            <w:i/>
            <w:noProof/>
          </w:rPr>
          <w:t>8.8. Условия и порядок размещения ценных бумаг выпуска (дополнительного выпуска)</w:t>
        </w:r>
        <w:r w:rsidR="008B6061">
          <w:rPr>
            <w:noProof/>
            <w:webHidden/>
          </w:rPr>
          <w:tab/>
        </w:r>
        <w:r w:rsidR="008B6061">
          <w:rPr>
            <w:noProof/>
            <w:webHidden/>
          </w:rPr>
          <w:fldChar w:fldCharType="begin"/>
        </w:r>
        <w:r w:rsidR="008B6061">
          <w:rPr>
            <w:noProof/>
            <w:webHidden/>
          </w:rPr>
          <w:instrText xml:space="preserve"> PAGEREF _Toc448251202 \h </w:instrText>
        </w:r>
        <w:r w:rsidR="008B6061">
          <w:rPr>
            <w:noProof/>
            <w:webHidden/>
          </w:rPr>
        </w:r>
        <w:r w:rsidR="008B6061">
          <w:rPr>
            <w:noProof/>
            <w:webHidden/>
          </w:rPr>
          <w:fldChar w:fldCharType="separate"/>
        </w:r>
        <w:r w:rsidR="00156D5A">
          <w:rPr>
            <w:noProof/>
            <w:webHidden/>
          </w:rPr>
          <w:t>80</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203" w:history="1">
        <w:r w:rsidR="008B6061" w:rsidRPr="0041705A">
          <w:rPr>
            <w:rStyle w:val="aa"/>
            <w:rFonts w:ascii="Arial" w:eastAsiaTheme="minorHAnsi" w:hAnsi="Arial" w:cs="Arial"/>
            <w:b/>
            <w:noProof/>
            <w:lang w:eastAsia="en-US"/>
          </w:rPr>
          <w:t>8.8.1. Способ размещения ценных бумаг</w:t>
        </w:r>
        <w:r w:rsidR="008B6061">
          <w:rPr>
            <w:noProof/>
            <w:webHidden/>
          </w:rPr>
          <w:tab/>
        </w:r>
        <w:r w:rsidR="008B6061">
          <w:rPr>
            <w:noProof/>
            <w:webHidden/>
          </w:rPr>
          <w:fldChar w:fldCharType="begin"/>
        </w:r>
        <w:r w:rsidR="008B6061">
          <w:rPr>
            <w:noProof/>
            <w:webHidden/>
          </w:rPr>
          <w:instrText xml:space="preserve"> PAGEREF _Toc448251203 \h </w:instrText>
        </w:r>
        <w:r w:rsidR="008B6061">
          <w:rPr>
            <w:noProof/>
            <w:webHidden/>
          </w:rPr>
        </w:r>
        <w:r w:rsidR="008B6061">
          <w:rPr>
            <w:noProof/>
            <w:webHidden/>
          </w:rPr>
          <w:fldChar w:fldCharType="separate"/>
        </w:r>
        <w:r w:rsidR="00156D5A">
          <w:rPr>
            <w:noProof/>
            <w:webHidden/>
          </w:rPr>
          <w:t>80</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204" w:history="1">
        <w:r w:rsidR="008B6061" w:rsidRPr="0041705A">
          <w:rPr>
            <w:rStyle w:val="aa"/>
            <w:rFonts w:ascii="Arial" w:eastAsiaTheme="minorHAnsi" w:hAnsi="Arial" w:cs="Arial"/>
            <w:b/>
            <w:noProof/>
            <w:lang w:eastAsia="en-US"/>
          </w:rPr>
          <w:t>8.8.2. Срок размещения ценных бумаг</w:t>
        </w:r>
        <w:r w:rsidR="008B6061">
          <w:rPr>
            <w:noProof/>
            <w:webHidden/>
          </w:rPr>
          <w:tab/>
        </w:r>
        <w:r w:rsidR="008B6061">
          <w:rPr>
            <w:noProof/>
            <w:webHidden/>
          </w:rPr>
          <w:fldChar w:fldCharType="begin"/>
        </w:r>
        <w:r w:rsidR="008B6061">
          <w:rPr>
            <w:noProof/>
            <w:webHidden/>
          </w:rPr>
          <w:instrText xml:space="preserve"> PAGEREF _Toc448251204 \h </w:instrText>
        </w:r>
        <w:r w:rsidR="008B6061">
          <w:rPr>
            <w:noProof/>
            <w:webHidden/>
          </w:rPr>
        </w:r>
        <w:r w:rsidR="008B6061">
          <w:rPr>
            <w:noProof/>
            <w:webHidden/>
          </w:rPr>
          <w:fldChar w:fldCharType="separate"/>
        </w:r>
        <w:r w:rsidR="00156D5A">
          <w:rPr>
            <w:noProof/>
            <w:webHidden/>
          </w:rPr>
          <w:t>80</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205" w:history="1">
        <w:r w:rsidR="008B6061" w:rsidRPr="0041705A">
          <w:rPr>
            <w:rStyle w:val="aa"/>
            <w:rFonts w:ascii="Arial" w:eastAsiaTheme="minorHAnsi" w:hAnsi="Arial" w:cs="Arial"/>
            <w:b/>
            <w:noProof/>
            <w:lang w:eastAsia="en-US"/>
          </w:rPr>
          <w:t>8.8.3. Порядок размещения ценных бумаг</w:t>
        </w:r>
        <w:r w:rsidR="008B6061">
          <w:rPr>
            <w:noProof/>
            <w:webHidden/>
          </w:rPr>
          <w:tab/>
        </w:r>
        <w:r w:rsidR="008B6061">
          <w:rPr>
            <w:noProof/>
            <w:webHidden/>
          </w:rPr>
          <w:fldChar w:fldCharType="begin"/>
        </w:r>
        <w:r w:rsidR="008B6061">
          <w:rPr>
            <w:noProof/>
            <w:webHidden/>
          </w:rPr>
          <w:instrText xml:space="preserve"> PAGEREF _Toc448251205 \h </w:instrText>
        </w:r>
        <w:r w:rsidR="008B6061">
          <w:rPr>
            <w:noProof/>
            <w:webHidden/>
          </w:rPr>
        </w:r>
        <w:r w:rsidR="008B6061">
          <w:rPr>
            <w:noProof/>
            <w:webHidden/>
          </w:rPr>
          <w:fldChar w:fldCharType="separate"/>
        </w:r>
        <w:r w:rsidR="00156D5A">
          <w:rPr>
            <w:noProof/>
            <w:webHidden/>
          </w:rPr>
          <w:t>81</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206" w:history="1">
        <w:r w:rsidR="008B6061" w:rsidRPr="0041705A">
          <w:rPr>
            <w:rStyle w:val="aa"/>
            <w:rFonts w:ascii="Arial" w:eastAsiaTheme="minorHAnsi" w:hAnsi="Arial" w:cs="Arial"/>
            <w:b/>
            <w:noProof/>
            <w:lang w:eastAsia="en-US"/>
          </w:rPr>
          <w:t>8.8.4. Цена (цены) или порядок определения цены размещения ценных бумаг</w:t>
        </w:r>
        <w:r w:rsidR="008B6061">
          <w:rPr>
            <w:noProof/>
            <w:webHidden/>
          </w:rPr>
          <w:tab/>
        </w:r>
        <w:r w:rsidR="008B6061">
          <w:rPr>
            <w:noProof/>
            <w:webHidden/>
          </w:rPr>
          <w:fldChar w:fldCharType="begin"/>
        </w:r>
        <w:r w:rsidR="008B6061">
          <w:rPr>
            <w:noProof/>
            <w:webHidden/>
          </w:rPr>
          <w:instrText xml:space="preserve"> PAGEREF _Toc448251206 \h </w:instrText>
        </w:r>
        <w:r w:rsidR="008B6061">
          <w:rPr>
            <w:noProof/>
            <w:webHidden/>
          </w:rPr>
        </w:r>
        <w:r w:rsidR="008B6061">
          <w:rPr>
            <w:noProof/>
            <w:webHidden/>
          </w:rPr>
          <w:fldChar w:fldCharType="separate"/>
        </w:r>
        <w:r w:rsidR="00156D5A">
          <w:rPr>
            <w:noProof/>
            <w:webHidden/>
          </w:rPr>
          <w:t>89</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207" w:history="1">
        <w:r w:rsidR="008B6061" w:rsidRPr="0041705A">
          <w:rPr>
            <w:rStyle w:val="aa"/>
            <w:rFonts w:ascii="Arial" w:eastAsiaTheme="minorHAnsi" w:hAnsi="Arial" w:cs="Arial"/>
            <w:b/>
            <w:noProof/>
            <w:lang w:eastAsia="en-US"/>
          </w:rPr>
          <w:t>8.8.5. Порядок осуществления преимущественного права приобретения размещаемых ценных бумаг</w:t>
        </w:r>
        <w:r w:rsidR="008B6061">
          <w:rPr>
            <w:noProof/>
            <w:webHidden/>
          </w:rPr>
          <w:tab/>
        </w:r>
        <w:r w:rsidR="008B6061">
          <w:rPr>
            <w:noProof/>
            <w:webHidden/>
          </w:rPr>
          <w:fldChar w:fldCharType="begin"/>
        </w:r>
        <w:r w:rsidR="008B6061">
          <w:rPr>
            <w:noProof/>
            <w:webHidden/>
          </w:rPr>
          <w:instrText xml:space="preserve"> PAGEREF _Toc448251207 \h </w:instrText>
        </w:r>
        <w:r w:rsidR="008B6061">
          <w:rPr>
            <w:noProof/>
            <w:webHidden/>
          </w:rPr>
        </w:r>
        <w:r w:rsidR="008B6061">
          <w:rPr>
            <w:noProof/>
            <w:webHidden/>
          </w:rPr>
          <w:fldChar w:fldCharType="separate"/>
        </w:r>
        <w:r w:rsidR="00156D5A">
          <w:rPr>
            <w:noProof/>
            <w:webHidden/>
          </w:rPr>
          <w:t>90</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208" w:history="1">
        <w:r w:rsidR="008B6061" w:rsidRPr="0041705A">
          <w:rPr>
            <w:rStyle w:val="aa"/>
            <w:rFonts w:ascii="Arial" w:eastAsiaTheme="minorHAnsi" w:hAnsi="Arial" w:cs="Arial"/>
            <w:b/>
            <w:noProof/>
            <w:lang w:eastAsia="en-US"/>
          </w:rPr>
          <w:t>8.8.6. Условия и порядок оплаты ценных бумаг</w:t>
        </w:r>
        <w:r w:rsidR="008B6061">
          <w:rPr>
            <w:noProof/>
            <w:webHidden/>
          </w:rPr>
          <w:tab/>
        </w:r>
        <w:r w:rsidR="008B6061">
          <w:rPr>
            <w:noProof/>
            <w:webHidden/>
          </w:rPr>
          <w:fldChar w:fldCharType="begin"/>
        </w:r>
        <w:r w:rsidR="008B6061">
          <w:rPr>
            <w:noProof/>
            <w:webHidden/>
          </w:rPr>
          <w:instrText xml:space="preserve"> PAGEREF _Toc448251208 \h </w:instrText>
        </w:r>
        <w:r w:rsidR="008B6061">
          <w:rPr>
            <w:noProof/>
            <w:webHidden/>
          </w:rPr>
        </w:r>
        <w:r w:rsidR="008B6061">
          <w:rPr>
            <w:noProof/>
            <w:webHidden/>
          </w:rPr>
          <w:fldChar w:fldCharType="separate"/>
        </w:r>
        <w:r w:rsidR="00156D5A">
          <w:rPr>
            <w:noProof/>
            <w:webHidden/>
          </w:rPr>
          <w:t>90</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209" w:history="1">
        <w:r w:rsidR="008B6061" w:rsidRPr="0041705A">
          <w:rPr>
            <w:rStyle w:val="aa"/>
            <w:rFonts w:ascii="Arial" w:eastAsiaTheme="minorHAnsi" w:hAnsi="Arial" w:cs="Arial"/>
            <w:b/>
            <w:noProof/>
            <w:lang w:eastAsia="en-US"/>
          </w:rPr>
          <w:t>8.8.7. Сведения о документе, содержащем фактические итоги размещения ценных бумаг, который представляется после завершения размещения ценных бумаг</w:t>
        </w:r>
        <w:r w:rsidR="008B6061">
          <w:rPr>
            <w:noProof/>
            <w:webHidden/>
          </w:rPr>
          <w:tab/>
        </w:r>
        <w:r w:rsidR="008B6061">
          <w:rPr>
            <w:noProof/>
            <w:webHidden/>
          </w:rPr>
          <w:fldChar w:fldCharType="begin"/>
        </w:r>
        <w:r w:rsidR="008B6061">
          <w:rPr>
            <w:noProof/>
            <w:webHidden/>
          </w:rPr>
          <w:instrText xml:space="preserve"> PAGEREF _Toc448251209 \h </w:instrText>
        </w:r>
        <w:r w:rsidR="008B6061">
          <w:rPr>
            <w:noProof/>
            <w:webHidden/>
          </w:rPr>
        </w:r>
        <w:r w:rsidR="008B6061">
          <w:rPr>
            <w:noProof/>
            <w:webHidden/>
          </w:rPr>
          <w:fldChar w:fldCharType="separate"/>
        </w:r>
        <w:r w:rsidR="00156D5A">
          <w:rPr>
            <w:noProof/>
            <w:webHidden/>
          </w:rPr>
          <w:t>91</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210" w:history="1">
        <w:r w:rsidR="008B6061" w:rsidRPr="0041705A">
          <w:rPr>
            <w:rStyle w:val="aa"/>
            <w:rFonts w:ascii="Arial" w:eastAsiaTheme="minorHAnsi" w:hAnsi="Arial" w:cs="Arial"/>
            <w:b/>
            <w:i/>
            <w:noProof/>
            <w:lang w:eastAsia="en-US"/>
          </w:rPr>
          <w:t>8.9. Порядок и условия погашения и выплаты доходов по облигациям</w:t>
        </w:r>
        <w:r w:rsidR="008B6061">
          <w:rPr>
            <w:noProof/>
            <w:webHidden/>
          </w:rPr>
          <w:tab/>
        </w:r>
        <w:r w:rsidR="008B6061">
          <w:rPr>
            <w:noProof/>
            <w:webHidden/>
          </w:rPr>
          <w:fldChar w:fldCharType="begin"/>
        </w:r>
        <w:r w:rsidR="008B6061">
          <w:rPr>
            <w:noProof/>
            <w:webHidden/>
          </w:rPr>
          <w:instrText xml:space="preserve"> PAGEREF _Toc448251210 \h </w:instrText>
        </w:r>
        <w:r w:rsidR="008B6061">
          <w:rPr>
            <w:noProof/>
            <w:webHidden/>
          </w:rPr>
        </w:r>
        <w:r w:rsidR="008B6061">
          <w:rPr>
            <w:noProof/>
            <w:webHidden/>
          </w:rPr>
          <w:fldChar w:fldCharType="separate"/>
        </w:r>
        <w:r w:rsidR="00156D5A">
          <w:rPr>
            <w:noProof/>
            <w:webHidden/>
          </w:rPr>
          <w:t>91</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211" w:history="1">
        <w:r w:rsidR="008B6061" w:rsidRPr="0041705A">
          <w:rPr>
            <w:rStyle w:val="aa"/>
            <w:rFonts w:ascii="Arial" w:eastAsiaTheme="minorHAnsi" w:hAnsi="Arial" w:cs="Arial"/>
            <w:b/>
            <w:noProof/>
            <w:lang w:eastAsia="en-US"/>
          </w:rPr>
          <w:t>8.9.1. Форма погашения облигаций</w:t>
        </w:r>
        <w:r w:rsidR="008B6061">
          <w:rPr>
            <w:noProof/>
            <w:webHidden/>
          </w:rPr>
          <w:tab/>
        </w:r>
        <w:r w:rsidR="008B6061">
          <w:rPr>
            <w:noProof/>
            <w:webHidden/>
          </w:rPr>
          <w:fldChar w:fldCharType="begin"/>
        </w:r>
        <w:r w:rsidR="008B6061">
          <w:rPr>
            <w:noProof/>
            <w:webHidden/>
          </w:rPr>
          <w:instrText xml:space="preserve"> PAGEREF _Toc448251211 \h </w:instrText>
        </w:r>
        <w:r w:rsidR="008B6061">
          <w:rPr>
            <w:noProof/>
            <w:webHidden/>
          </w:rPr>
        </w:r>
        <w:r w:rsidR="008B6061">
          <w:rPr>
            <w:noProof/>
            <w:webHidden/>
          </w:rPr>
          <w:fldChar w:fldCharType="separate"/>
        </w:r>
        <w:r w:rsidR="00156D5A">
          <w:rPr>
            <w:noProof/>
            <w:webHidden/>
          </w:rPr>
          <w:t>91</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212" w:history="1">
        <w:r w:rsidR="008B6061" w:rsidRPr="0041705A">
          <w:rPr>
            <w:rStyle w:val="aa"/>
            <w:rFonts w:ascii="Arial" w:eastAsiaTheme="minorHAnsi" w:hAnsi="Arial" w:cs="Arial"/>
            <w:b/>
            <w:noProof/>
            <w:lang w:eastAsia="en-US"/>
          </w:rPr>
          <w:t>8.9.2. Порядок и условия погашения облигаций</w:t>
        </w:r>
        <w:r w:rsidR="008B6061">
          <w:rPr>
            <w:noProof/>
            <w:webHidden/>
          </w:rPr>
          <w:tab/>
        </w:r>
        <w:r w:rsidR="008B6061">
          <w:rPr>
            <w:noProof/>
            <w:webHidden/>
          </w:rPr>
          <w:fldChar w:fldCharType="begin"/>
        </w:r>
        <w:r w:rsidR="008B6061">
          <w:rPr>
            <w:noProof/>
            <w:webHidden/>
          </w:rPr>
          <w:instrText xml:space="preserve"> PAGEREF _Toc448251212 \h </w:instrText>
        </w:r>
        <w:r w:rsidR="008B6061">
          <w:rPr>
            <w:noProof/>
            <w:webHidden/>
          </w:rPr>
        </w:r>
        <w:r w:rsidR="008B6061">
          <w:rPr>
            <w:noProof/>
            <w:webHidden/>
          </w:rPr>
          <w:fldChar w:fldCharType="separate"/>
        </w:r>
        <w:r w:rsidR="00156D5A">
          <w:rPr>
            <w:noProof/>
            <w:webHidden/>
          </w:rPr>
          <w:t>91</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213" w:history="1">
        <w:r w:rsidR="008B6061" w:rsidRPr="0041705A">
          <w:rPr>
            <w:rStyle w:val="aa"/>
            <w:rFonts w:ascii="Arial" w:eastAsiaTheme="minorHAnsi" w:hAnsi="Arial" w:cs="Arial"/>
            <w:b/>
            <w:noProof/>
            <w:lang w:eastAsia="en-US"/>
          </w:rPr>
          <w:t>8.9.3. Порядок определения дохода, выплачиваемого по каждой облигации</w:t>
        </w:r>
        <w:r w:rsidR="008B6061">
          <w:rPr>
            <w:noProof/>
            <w:webHidden/>
          </w:rPr>
          <w:tab/>
        </w:r>
        <w:r w:rsidR="008B6061">
          <w:rPr>
            <w:noProof/>
            <w:webHidden/>
          </w:rPr>
          <w:fldChar w:fldCharType="begin"/>
        </w:r>
        <w:r w:rsidR="008B6061">
          <w:rPr>
            <w:noProof/>
            <w:webHidden/>
          </w:rPr>
          <w:instrText xml:space="preserve"> PAGEREF _Toc448251213 \h </w:instrText>
        </w:r>
        <w:r w:rsidR="008B6061">
          <w:rPr>
            <w:noProof/>
            <w:webHidden/>
          </w:rPr>
        </w:r>
        <w:r w:rsidR="008B6061">
          <w:rPr>
            <w:noProof/>
            <w:webHidden/>
          </w:rPr>
          <w:fldChar w:fldCharType="separate"/>
        </w:r>
        <w:r w:rsidR="00156D5A">
          <w:rPr>
            <w:noProof/>
            <w:webHidden/>
          </w:rPr>
          <w:t>92</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214" w:history="1">
        <w:r w:rsidR="008B6061" w:rsidRPr="0041705A">
          <w:rPr>
            <w:rStyle w:val="aa"/>
            <w:rFonts w:ascii="Arial" w:eastAsiaTheme="minorHAnsi" w:hAnsi="Arial" w:cs="Arial"/>
            <w:b/>
            <w:noProof/>
            <w:lang w:eastAsia="en-US"/>
          </w:rPr>
          <w:t>8.9.4. Порядок и срок выплаты дохода по облигациям</w:t>
        </w:r>
        <w:r w:rsidR="008B6061">
          <w:rPr>
            <w:noProof/>
            <w:webHidden/>
          </w:rPr>
          <w:tab/>
        </w:r>
        <w:r w:rsidR="008B6061">
          <w:rPr>
            <w:noProof/>
            <w:webHidden/>
          </w:rPr>
          <w:fldChar w:fldCharType="begin"/>
        </w:r>
        <w:r w:rsidR="008B6061">
          <w:rPr>
            <w:noProof/>
            <w:webHidden/>
          </w:rPr>
          <w:instrText xml:space="preserve"> PAGEREF _Toc448251214 \h </w:instrText>
        </w:r>
        <w:r w:rsidR="008B6061">
          <w:rPr>
            <w:noProof/>
            <w:webHidden/>
          </w:rPr>
        </w:r>
        <w:r w:rsidR="008B6061">
          <w:rPr>
            <w:noProof/>
            <w:webHidden/>
          </w:rPr>
          <w:fldChar w:fldCharType="separate"/>
        </w:r>
        <w:r w:rsidR="00156D5A">
          <w:rPr>
            <w:noProof/>
            <w:webHidden/>
          </w:rPr>
          <w:t>94</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215" w:history="1">
        <w:r w:rsidR="008B6061" w:rsidRPr="0041705A">
          <w:rPr>
            <w:rStyle w:val="aa"/>
            <w:rFonts w:ascii="Arial" w:eastAsiaTheme="minorHAnsi" w:hAnsi="Arial" w:cs="Arial"/>
            <w:b/>
            <w:noProof/>
            <w:lang w:eastAsia="en-US"/>
          </w:rPr>
          <w:t>8.9.5. Порядок и условия досрочного погашения облигаций</w:t>
        </w:r>
        <w:r w:rsidR="008B6061">
          <w:rPr>
            <w:noProof/>
            <w:webHidden/>
          </w:rPr>
          <w:tab/>
        </w:r>
        <w:r w:rsidR="008B6061">
          <w:rPr>
            <w:noProof/>
            <w:webHidden/>
          </w:rPr>
          <w:fldChar w:fldCharType="begin"/>
        </w:r>
        <w:r w:rsidR="008B6061">
          <w:rPr>
            <w:noProof/>
            <w:webHidden/>
          </w:rPr>
          <w:instrText xml:space="preserve"> PAGEREF _Toc448251215 \h </w:instrText>
        </w:r>
        <w:r w:rsidR="008B6061">
          <w:rPr>
            <w:noProof/>
            <w:webHidden/>
          </w:rPr>
        </w:r>
        <w:r w:rsidR="008B6061">
          <w:rPr>
            <w:noProof/>
            <w:webHidden/>
          </w:rPr>
          <w:fldChar w:fldCharType="separate"/>
        </w:r>
        <w:r w:rsidR="00156D5A">
          <w:rPr>
            <w:noProof/>
            <w:webHidden/>
          </w:rPr>
          <w:t>95</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216" w:history="1">
        <w:r w:rsidR="008B6061" w:rsidRPr="0041705A">
          <w:rPr>
            <w:rStyle w:val="aa"/>
            <w:rFonts w:ascii="Arial" w:eastAsiaTheme="minorHAnsi" w:hAnsi="Arial" w:cs="Arial"/>
            <w:b/>
            <w:noProof/>
            <w:lang w:eastAsia="en-US"/>
          </w:rPr>
          <w:t>8.9.6. Сведения о платежных агентах по облигациям</w:t>
        </w:r>
        <w:r w:rsidR="008B6061">
          <w:rPr>
            <w:noProof/>
            <w:webHidden/>
          </w:rPr>
          <w:tab/>
        </w:r>
        <w:r w:rsidR="008B6061">
          <w:rPr>
            <w:noProof/>
            <w:webHidden/>
          </w:rPr>
          <w:fldChar w:fldCharType="begin"/>
        </w:r>
        <w:r w:rsidR="008B6061">
          <w:rPr>
            <w:noProof/>
            <w:webHidden/>
          </w:rPr>
          <w:instrText xml:space="preserve"> PAGEREF _Toc448251216 \h </w:instrText>
        </w:r>
        <w:r w:rsidR="008B6061">
          <w:rPr>
            <w:noProof/>
            <w:webHidden/>
          </w:rPr>
        </w:r>
        <w:r w:rsidR="008B6061">
          <w:rPr>
            <w:noProof/>
            <w:webHidden/>
          </w:rPr>
          <w:fldChar w:fldCharType="separate"/>
        </w:r>
        <w:r w:rsidR="00156D5A">
          <w:rPr>
            <w:noProof/>
            <w:webHidden/>
          </w:rPr>
          <w:t>106</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217" w:history="1">
        <w:r w:rsidR="008B6061" w:rsidRPr="0041705A">
          <w:rPr>
            <w:rStyle w:val="aa"/>
            <w:rFonts w:ascii="Arial" w:eastAsiaTheme="minorHAnsi" w:hAnsi="Arial" w:cs="Arial"/>
            <w:b/>
            <w:noProof/>
            <w:lang w:eastAsia="en-US"/>
          </w:rPr>
          <w:t>8.9.7. Сведения о действиях владельцев облигаций и порядке раскрытия информации в случае дефолта по облигациям</w:t>
        </w:r>
        <w:r w:rsidR="008B6061">
          <w:rPr>
            <w:noProof/>
            <w:webHidden/>
          </w:rPr>
          <w:tab/>
        </w:r>
        <w:r w:rsidR="008B6061">
          <w:rPr>
            <w:noProof/>
            <w:webHidden/>
          </w:rPr>
          <w:fldChar w:fldCharType="begin"/>
        </w:r>
        <w:r w:rsidR="008B6061">
          <w:rPr>
            <w:noProof/>
            <w:webHidden/>
          </w:rPr>
          <w:instrText xml:space="preserve"> PAGEREF _Toc448251217 \h </w:instrText>
        </w:r>
        <w:r w:rsidR="008B6061">
          <w:rPr>
            <w:noProof/>
            <w:webHidden/>
          </w:rPr>
        </w:r>
        <w:r w:rsidR="008B6061">
          <w:rPr>
            <w:noProof/>
            <w:webHidden/>
          </w:rPr>
          <w:fldChar w:fldCharType="separate"/>
        </w:r>
        <w:r w:rsidR="00156D5A">
          <w:rPr>
            <w:noProof/>
            <w:webHidden/>
          </w:rPr>
          <w:t>106</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218" w:history="1">
        <w:r w:rsidR="008B6061" w:rsidRPr="0041705A">
          <w:rPr>
            <w:rStyle w:val="aa"/>
            <w:rFonts w:ascii="Arial" w:eastAsiaTheme="minorHAnsi" w:hAnsi="Arial" w:cs="Arial"/>
            <w:b/>
            <w:i/>
            <w:noProof/>
            <w:lang w:eastAsia="en-US"/>
          </w:rPr>
          <w:t>8.10. Сведения о приобретении облигаций</w:t>
        </w:r>
        <w:r w:rsidR="008B6061">
          <w:rPr>
            <w:noProof/>
            <w:webHidden/>
          </w:rPr>
          <w:tab/>
        </w:r>
        <w:r w:rsidR="008B6061">
          <w:rPr>
            <w:noProof/>
            <w:webHidden/>
          </w:rPr>
          <w:fldChar w:fldCharType="begin"/>
        </w:r>
        <w:r w:rsidR="008B6061">
          <w:rPr>
            <w:noProof/>
            <w:webHidden/>
          </w:rPr>
          <w:instrText xml:space="preserve"> PAGEREF _Toc448251218 \h </w:instrText>
        </w:r>
        <w:r w:rsidR="008B6061">
          <w:rPr>
            <w:noProof/>
            <w:webHidden/>
          </w:rPr>
        </w:r>
        <w:r w:rsidR="008B6061">
          <w:rPr>
            <w:noProof/>
            <w:webHidden/>
          </w:rPr>
          <w:fldChar w:fldCharType="separate"/>
        </w:r>
        <w:r w:rsidR="00156D5A">
          <w:rPr>
            <w:noProof/>
            <w:webHidden/>
          </w:rPr>
          <w:t>110</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219" w:history="1">
        <w:r w:rsidR="008B6061" w:rsidRPr="0041705A">
          <w:rPr>
            <w:rStyle w:val="aa"/>
            <w:rFonts w:ascii="Arial" w:eastAsiaTheme="minorHAnsi" w:hAnsi="Arial" w:cs="Arial"/>
            <w:b/>
            <w:i/>
            <w:noProof/>
            <w:lang w:eastAsia="en-US"/>
          </w:rPr>
          <w:t>8.11. Порядок раскрытия эмитентом информации о выпуске (дополнительном выпуске) ценных бумаг</w:t>
        </w:r>
        <w:r w:rsidR="008B6061">
          <w:rPr>
            <w:noProof/>
            <w:webHidden/>
          </w:rPr>
          <w:tab/>
        </w:r>
        <w:r w:rsidR="008B6061">
          <w:rPr>
            <w:noProof/>
            <w:webHidden/>
          </w:rPr>
          <w:fldChar w:fldCharType="begin"/>
        </w:r>
        <w:r w:rsidR="008B6061">
          <w:rPr>
            <w:noProof/>
            <w:webHidden/>
          </w:rPr>
          <w:instrText xml:space="preserve"> PAGEREF _Toc448251219 \h </w:instrText>
        </w:r>
        <w:r w:rsidR="008B6061">
          <w:rPr>
            <w:noProof/>
            <w:webHidden/>
          </w:rPr>
        </w:r>
        <w:r w:rsidR="008B6061">
          <w:rPr>
            <w:noProof/>
            <w:webHidden/>
          </w:rPr>
          <w:fldChar w:fldCharType="separate"/>
        </w:r>
        <w:r w:rsidR="00156D5A">
          <w:rPr>
            <w:noProof/>
            <w:webHidden/>
          </w:rPr>
          <w:t>116</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220" w:history="1">
        <w:r w:rsidR="008B6061" w:rsidRPr="0041705A">
          <w:rPr>
            <w:rStyle w:val="aa"/>
            <w:rFonts w:ascii="Arial" w:eastAsiaTheme="minorHAnsi" w:hAnsi="Arial" w:cs="Arial"/>
            <w:b/>
            <w:i/>
            <w:noProof/>
            <w:lang w:eastAsia="en-US"/>
          </w:rPr>
          <w:t>8.12. Сведения об обеспечении исполнения обязательств по облигациям выпуска (дополнительного выпуска)</w:t>
        </w:r>
        <w:r w:rsidR="008B6061">
          <w:rPr>
            <w:noProof/>
            <w:webHidden/>
          </w:rPr>
          <w:tab/>
        </w:r>
        <w:r w:rsidR="008B6061">
          <w:rPr>
            <w:noProof/>
            <w:webHidden/>
          </w:rPr>
          <w:fldChar w:fldCharType="begin"/>
        </w:r>
        <w:r w:rsidR="008B6061">
          <w:rPr>
            <w:noProof/>
            <w:webHidden/>
          </w:rPr>
          <w:instrText xml:space="preserve"> PAGEREF _Toc448251220 \h </w:instrText>
        </w:r>
        <w:r w:rsidR="008B6061">
          <w:rPr>
            <w:noProof/>
            <w:webHidden/>
          </w:rPr>
        </w:r>
        <w:r w:rsidR="008B6061">
          <w:rPr>
            <w:noProof/>
            <w:webHidden/>
          </w:rPr>
          <w:fldChar w:fldCharType="separate"/>
        </w:r>
        <w:r w:rsidR="00156D5A">
          <w:rPr>
            <w:noProof/>
            <w:webHidden/>
          </w:rPr>
          <w:t>131</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221" w:history="1">
        <w:r w:rsidR="008B6061" w:rsidRPr="0041705A">
          <w:rPr>
            <w:rStyle w:val="aa"/>
            <w:rFonts w:ascii="Arial" w:eastAsiaTheme="minorHAnsi" w:hAnsi="Arial" w:cs="Arial"/>
            <w:b/>
            <w:noProof/>
            <w:lang w:eastAsia="en-US"/>
          </w:rPr>
          <w:t>8.12.1. Сведения о лице, предоставляющем обеспечение исполнения обязательств по облигациям</w:t>
        </w:r>
        <w:r w:rsidR="008B6061">
          <w:rPr>
            <w:noProof/>
            <w:webHidden/>
          </w:rPr>
          <w:tab/>
        </w:r>
        <w:r w:rsidR="008B6061">
          <w:rPr>
            <w:noProof/>
            <w:webHidden/>
          </w:rPr>
          <w:fldChar w:fldCharType="begin"/>
        </w:r>
        <w:r w:rsidR="008B6061">
          <w:rPr>
            <w:noProof/>
            <w:webHidden/>
          </w:rPr>
          <w:instrText xml:space="preserve"> PAGEREF _Toc448251221 \h </w:instrText>
        </w:r>
        <w:r w:rsidR="008B6061">
          <w:rPr>
            <w:noProof/>
            <w:webHidden/>
          </w:rPr>
        </w:r>
        <w:r w:rsidR="008B6061">
          <w:rPr>
            <w:noProof/>
            <w:webHidden/>
          </w:rPr>
          <w:fldChar w:fldCharType="separate"/>
        </w:r>
        <w:r w:rsidR="00156D5A">
          <w:rPr>
            <w:noProof/>
            <w:webHidden/>
          </w:rPr>
          <w:t>131</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222" w:history="1">
        <w:r w:rsidR="008B6061" w:rsidRPr="0041705A">
          <w:rPr>
            <w:rStyle w:val="aa"/>
            <w:rFonts w:ascii="Arial" w:eastAsiaTheme="minorHAnsi" w:hAnsi="Arial" w:cs="Arial"/>
            <w:b/>
            <w:noProof/>
            <w:lang w:eastAsia="en-US"/>
          </w:rPr>
          <w:t>8.12.2. Условия обеспечения исполнения обязательств по облигациям</w:t>
        </w:r>
        <w:r w:rsidR="008B6061">
          <w:rPr>
            <w:noProof/>
            <w:webHidden/>
          </w:rPr>
          <w:tab/>
        </w:r>
        <w:r w:rsidR="008B6061">
          <w:rPr>
            <w:noProof/>
            <w:webHidden/>
          </w:rPr>
          <w:fldChar w:fldCharType="begin"/>
        </w:r>
        <w:r w:rsidR="008B6061">
          <w:rPr>
            <w:noProof/>
            <w:webHidden/>
          </w:rPr>
          <w:instrText xml:space="preserve"> PAGEREF _Toc448251222 \h </w:instrText>
        </w:r>
        <w:r w:rsidR="008B6061">
          <w:rPr>
            <w:noProof/>
            <w:webHidden/>
          </w:rPr>
        </w:r>
        <w:r w:rsidR="008B6061">
          <w:rPr>
            <w:noProof/>
            <w:webHidden/>
          </w:rPr>
          <w:fldChar w:fldCharType="separate"/>
        </w:r>
        <w:r w:rsidR="00156D5A">
          <w:rPr>
            <w:noProof/>
            <w:webHidden/>
          </w:rPr>
          <w:t>131</w:t>
        </w:r>
        <w:r w:rsidR="008B6061">
          <w:rPr>
            <w:noProof/>
            <w:webHidden/>
          </w:rPr>
          <w:fldChar w:fldCharType="end"/>
        </w:r>
      </w:hyperlink>
    </w:p>
    <w:p w:rsidR="008B6061" w:rsidRDefault="00967F08">
      <w:pPr>
        <w:pStyle w:val="41"/>
        <w:tabs>
          <w:tab w:val="right" w:leader="dot" w:pos="9345"/>
        </w:tabs>
        <w:rPr>
          <w:rFonts w:eastAsiaTheme="minorEastAsia" w:cstheme="minorBidi"/>
          <w:noProof/>
          <w:sz w:val="22"/>
          <w:szCs w:val="22"/>
        </w:rPr>
      </w:pPr>
      <w:hyperlink w:anchor="_Toc448251223" w:history="1">
        <w:r w:rsidR="008B6061" w:rsidRPr="0041705A">
          <w:rPr>
            <w:rStyle w:val="aa"/>
            <w:rFonts w:ascii="Arial" w:eastAsiaTheme="minorHAnsi" w:hAnsi="Arial" w:cs="Arial"/>
            <w:noProof/>
            <w:lang w:eastAsia="en-US"/>
          </w:rPr>
          <w:t>8.12.2.1. Условия залога (залогового обеспечения), которым обеспечивается исполнение обязательств по облигациям</w:t>
        </w:r>
        <w:r w:rsidR="008B6061">
          <w:rPr>
            <w:noProof/>
            <w:webHidden/>
          </w:rPr>
          <w:tab/>
        </w:r>
        <w:r w:rsidR="008B6061">
          <w:rPr>
            <w:noProof/>
            <w:webHidden/>
          </w:rPr>
          <w:fldChar w:fldCharType="begin"/>
        </w:r>
        <w:r w:rsidR="008B6061">
          <w:rPr>
            <w:noProof/>
            <w:webHidden/>
          </w:rPr>
          <w:instrText xml:space="preserve"> PAGEREF _Toc448251223 \h </w:instrText>
        </w:r>
        <w:r w:rsidR="008B6061">
          <w:rPr>
            <w:noProof/>
            <w:webHidden/>
          </w:rPr>
        </w:r>
        <w:r w:rsidR="008B6061">
          <w:rPr>
            <w:noProof/>
            <w:webHidden/>
          </w:rPr>
          <w:fldChar w:fldCharType="separate"/>
        </w:r>
        <w:r w:rsidR="00156D5A">
          <w:rPr>
            <w:noProof/>
            <w:webHidden/>
          </w:rPr>
          <w:t>131</w:t>
        </w:r>
        <w:r w:rsidR="008B6061">
          <w:rPr>
            <w:noProof/>
            <w:webHidden/>
          </w:rPr>
          <w:fldChar w:fldCharType="end"/>
        </w:r>
      </w:hyperlink>
    </w:p>
    <w:p w:rsidR="008B6061" w:rsidRDefault="00967F08">
      <w:pPr>
        <w:pStyle w:val="41"/>
        <w:tabs>
          <w:tab w:val="right" w:leader="dot" w:pos="9345"/>
        </w:tabs>
        <w:rPr>
          <w:rFonts w:eastAsiaTheme="minorEastAsia" w:cstheme="minorBidi"/>
          <w:noProof/>
          <w:sz w:val="22"/>
          <w:szCs w:val="22"/>
        </w:rPr>
      </w:pPr>
      <w:hyperlink w:anchor="_Toc448251224" w:history="1">
        <w:r w:rsidR="008B6061" w:rsidRPr="0041705A">
          <w:rPr>
            <w:rStyle w:val="aa"/>
            <w:rFonts w:ascii="Arial" w:eastAsiaTheme="minorHAnsi" w:hAnsi="Arial" w:cs="Arial"/>
            <w:noProof/>
            <w:lang w:eastAsia="en-US"/>
          </w:rPr>
          <w:t>8.12.2.2. Условия поручительства, которым обеспечивается исполнение обязательств по облигациям</w:t>
        </w:r>
        <w:r w:rsidR="008B6061">
          <w:rPr>
            <w:noProof/>
            <w:webHidden/>
          </w:rPr>
          <w:tab/>
        </w:r>
        <w:r w:rsidR="008B6061">
          <w:rPr>
            <w:noProof/>
            <w:webHidden/>
          </w:rPr>
          <w:fldChar w:fldCharType="begin"/>
        </w:r>
        <w:r w:rsidR="008B6061">
          <w:rPr>
            <w:noProof/>
            <w:webHidden/>
          </w:rPr>
          <w:instrText xml:space="preserve"> PAGEREF _Toc448251224 \h </w:instrText>
        </w:r>
        <w:r w:rsidR="008B6061">
          <w:rPr>
            <w:noProof/>
            <w:webHidden/>
          </w:rPr>
        </w:r>
        <w:r w:rsidR="008B6061">
          <w:rPr>
            <w:noProof/>
            <w:webHidden/>
          </w:rPr>
          <w:fldChar w:fldCharType="separate"/>
        </w:r>
        <w:r w:rsidR="00156D5A">
          <w:rPr>
            <w:noProof/>
            <w:webHidden/>
          </w:rPr>
          <w:t>131</w:t>
        </w:r>
        <w:r w:rsidR="008B6061">
          <w:rPr>
            <w:noProof/>
            <w:webHidden/>
          </w:rPr>
          <w:fldChar w:fldCharType="end"/>
        </w:r>
      </w:hyperlink>
    </w:p>
    <w:p w:rsidR="008B6061" w:rsidRDefault="00967F08">
      <w:pPr>
        <w:pStyle w:val="41"/>
        <w:tabs>
          <w:tab w:val="right" w:leader="dot" w:pos="9345"/>
        </w:tabs>
        <w:rPr>
          <w:rFonts w:eastAsiaTheme="minorEastAsia" w:cstheme="minorBidi"/>
          <w:noProof/>
          <w:sz w:val="22"/>
          <w:szCs w:val="22"/>
        </w:rPr>
      </w:pPr>
      <w:hyperlink w:anchor="_Toc448251225" w:history="1">
        <w:r w:rsidR="008B6061" w:rsidRPr="0041705A">
          <w:rPr>
            <w:rStyle w:val="aa"/>
            <w:rFonts w:ascii="Arial" w:eastAsiaTheme="minorHAnsi" w:hAnsi="Arial" w:cs="Arial"/>
            <w:noProof/>
            <w:lang w:eastAsia="en-US"/>
          </w:rPr>
          <w:t>8.12.2.3. Условия банковской гарантии, которой обеспечивается исполнение обязательств по облигациям</w:t>
        </w:r>
        <w:r w:rsidR="008B6061">
          <w:rPr>
            <w:noProof/>
            <w:webHidden/>
          </w:rPr>
          <w:tab/>
        </w:r>
        <w:r w:rsidR="008B6061">
          <w:rPr>
            <w:noProof/>
            <w:webHidden/>
          </w:rPr>
          <w:fldChar w:fldCharType="begin"/>
        </w:r>
        <w:r w:rsidR="008B6061">
          <w:rPr>
            <w:noProof/>
            <w:webHidden/>
          </w:rPr>
          <w:instrText xml:space="preserve"> PAGEREF _Toc448251225 \h </w:instrText>
        </w:r>
        <w:r w:rsidR="008B6061">
          <w:rPr>
            <w:noProof/>
            <w:webHidden/>
          </w:rPr>
        </w:r>
        <w:r w:rsidR="008B6061">
          <w:rPr>
            <w:noProof/>
            <w:webHidden/>
          </w:rPr>
          <w:fldChar w:fldCharType="separate"/>
        </w:r>
        <w:r w:rsidR="00156D5A">
          <w:rPr>
            <w:noProof/>
            <w:webHidden/>
          </w:rPr>
          <w:t>131</w:t>
        </w:r>
        <w:r w:rsidR="008B6061">
          <w:rPr>
            <w:noProof/>
            <w:webHidden/>
          </w:rPr>
          <w:fldChar w:fldCharType="end"/>
        </w:r>
      </w:hyperlink>
    </w:p>
    <w:p w:rsidR="008B6061" w:rsidRDefault="00967F08">
      <w:pPr>
        <w:pStyle w:val="41"/>
        <w:tabs>
          <w:tab w:val="right" w:leader="dot" w:pos="9345"/>
        </w:tabs>
        <w:rPr>
          <w:rFonts w:eastAsiaTheme="minorEastAsia" w:cstheme="minorBidi"/>
          <w:noProof/>
          <w:sz w:val="22"/>
          <w:szCs w:val="22"/>
        </w:rPr>
      </w:pPr>
      <w:hyperlink w:anchor="_Toc448251226" w:history="1">
        <w:r w:rsidR="008B6061" w:rsidRPr="0041705A">
          <w:rPr>
            <w:rStyle w:val="aa"/>
            <w:rFonts w:ascii="Arial" w:eastAsiaTheme="minorHAnsi" w:hAnsi="Arial" w:cs="Arial"/>
            <w:noProof/>
            <w:lang w:eastAsia="en-US"/>
          </w:rPr>
          <w:t>8.12.2.4. Условия государственной или муниципальной гарантии, которой обеспечивается исполнение обязательств по облигациям</w:t>
        </w:r>
        <w:r w:rsidR="008B6061">
          <w:rPr>
            <w:noProof/>
            <w:webHidden/>
          </w:rPr>
          <w:tab/>
        </w:r>
        <w:r w:rsidR="008B6061">
          <w:rPr>
            <w:noProof/>
            <w:webHidden/>
          </w:rPr>
          <w:fldChar w:fldCharType="begin"/>
        </w:r>
        <w:r w:rsidR="008B6061">
          <w:rPr>
            <w:noProof/>
            <w:webHidden/>
          </w:rPr>
          <w:instrText xml:space="preserve"> PAGEREF _Toc448251226 \h </w:instrText>
        </w:r>
        <w:r w:rsidR="008B6061">
          <w:rPr>
            <w:noProof/>
            <w:webHidden/>
          </w:rPr>
        </w:r>
        <w:r w:rsidR="008B6061">
          <w:rPr>
            <w:noProof/>
            <w:webHidden/>
          </w:rPr>
          <w:fldChar w:fldCharType="separate"/>
        </w:r>
        <w:r w:rsidR="00156D5A">
          <w:rPr>
            <w:noProof/>
            <w:webHidden/>
          </w:rPr>
          <w:t>131</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227" w:history="1">
        <w:r w:rsidR="008B6061" w:rsidRPr="0041705A">
          <w:rPr>
            <w:rStyle w:val="aa"/>
            <w:rFonts w:ascii="Arial" w:eastAsiaTheme="minorHAnsi" w:hAnsi="Arial" w:cs="Arial"/>
            <w:b/>
            <w:noProof/>
            <w:lang w:eastAsia="en-US"/>
          </w:rPr>
          <w:t>8.12.3. Дополнительные сведения о размещаемых облигациях с ипотечным покрытием</w:t>
        </w:r>
        <w:r w:rsidR="008B6061">
          <w:rPr>
            <w:noProof/>
            <w:webHidden/>
          </w:rPr>
          <w:tab/>
        </w:r>
        <w:r w:rsidR="008B6061">
          <w:rPr>
            <w:noProof/>
            <w:webHidden/>
          </w:rPr>
          <w:fldChar w:fldCharType="begin"/>
        </w:r>
        <w:r w:rsidR="008B6061">
          <w:rPr>
            <w:noProof/>
            <w:webHidden/>
          </w:rPr>
          <w:instrText xml:space="preserve"> PAGEREF _Toc448251227 \h </w:instrText>
        </w:r>
        <w:r w:rsidR="008B6061">
          <w:rPr>
            <w:noProof/>
            <w:webHidden/>
          </w:rPr>
        </w:r>
        <w:r w:rsidR="008B6061">
          <w:rPr>
            <w:noProof/>
            <w:webHidden/>
          </w:rPr>
          <w:fldChar w:fldCharType="separate"/>
        </w:r>
        <w:r w:rsidR="00156D5A">
          <w:rPr>
            <w:noProof/>
            <w:webHidden/>
          </w:rPr>
          <w:t>131</w:t>
        </w:r>
        <w:r w:rsidR="008B6061">
          <w:rPr>
            <w:noProof/>
            <w:webHidden/>
          </w:rPr>
          <w:fldChar w:fldCharType="end"/>
        </w:r>
      </w:hyperlink>
    </w:p>
    <w:p w:rsidR="008B6061" w:rsidRDefault="00967F08">
      <w:pPr>
        <w:pStyle w:val="41"/>
        <w:tabs>
          <w:tab w:val="right" w:leader="dot" w:pos="9345"/>
        </w:tabs>
        <w:rPr>
          <w:rFonts w:eastAsiaTheme="minorEastAsia" w:cstheme="minorBidi"/>
          <w:noProof/>
          <w:sz w:val="22"/>
          <w:szCs w:val="22"/>
        </w:rPr>
      </w:pPr>
      <w:hyperlink w:anchor="_Toc448251228" w:history="1">
        <w:r w:rsidR="008B6061" w:rsidRPr="0041705A">
          <w:rPr>
            <w:rStyle w:val="aa"/>
            <w:rFonts w:ascii="Arial" w:eastAsiaTheme="minorHAnsi" w:hAnsi="Arial" w:cs="Arial"/>
            <w:noProof/>
            <w:lang w:eastAsia="en-US"/>
          </w:rPr>
          <w:t>8.12.3.1. Сведения о специализированном депозитарии, осуществляющем ведение реестра ипотечного покрытия</w:t>
        </w:r>
        <w:r w:rsidR="008B6061">
          <w:rPr>
            <w:noProof/>
            <w:webHidden/>
          </w:rPr>
          <w:tab/>
        </w:r>
        <w:r w:rsidR="008B6061">
          <w:rPr>
            <w:noProof/>
            <w:webHidden/>
          </w:rPr>
          <w:fldChar w:fldCharType="begin"/>
        </w:r>
        <w:r w:rsidR="008B6061">
          <w:rPr>
            <w:noProof/>
            <w:webHidden/>
          </w:rPr>
          <w:instrText xml:space="preserve"> PAGEREF _Toc448251228 \h </w:instrText>
        </w:r>
        <w:r w:rsidR="008B6061">
          <w:rPr>
            <w:noProof/>
            <w:webHidden/>
          </w:rPr>
        </w:r>
        <w:r w:rsidR="008B6061">
          <w:rPr>
            <w:noProof/>
            <w:webHidden/>
          </w:rPr>
          <w:fldChar w:fldCharType="separate"/>
        </w:r>
        <w:r w:rsidR="00156D5A">
          <w:rPr>
            <w:noProof/>
            <w:webHidden/>
          </w:rPr>
          <w:t>131</w:t>
        </w:r>
        <w:r w:rsidR="008B6061">
          <w:rPr>
            <w:noProof/>
            <w:webHidden/>
          </w:rPr>
          <w:fldChar w:fldCharType="end"/>
        </w:r>
      </w:hyperlink>
    </w:p>
    <w:p w:rsidR="008B6061" w:rsidRDefault="00967F08">
      <w:pPr>
        <w:pStyle w:val="41"/>
        <w:tabs>
          <w:tab w:val="right" w:leader="dot" w:pos="9345"/>
        </w:tabs>
        <w:rPr>
          <w:rFonts w:eastAsiaTheme="minorEastAsia" w:cstheme="minorBidi"/>
          <w:noProof/>
          <w:sz w:val="22"/>
          <w:szCs w:val="22"/>
        </w:rPr>
      </w:pPr>
      <w:hyperlink w:anchor="_Toc448251229" w:history="1">
        <w:r w:rsidR="008B6061" w:rsidRPr="0041705A">
          <w:rPr>
            <w:rStyle w:val="aa"/>
            <w:rFonts w:ascii="Arial" w:eastAsiaTheme="minorHAnsi" w:hAnsi="Arial" w:cs="Arial"/>
            <w:noProof/>
            <w:lang w:eastAsia="en-US"/>
          </w:rPr>
          <w:t>8.12.3.2. Сведения о выпусках облигаций с ипотечным покрытием, исполнение обязательств по которым обеспечивается (может быть обеспечено) залогом данного ипотечного покрытия</w:t>
        </w:r>
        <w:r w:rsidR="008B6061">
          <w:rPr>
            <w:noProof/>
            <w:webHidden/>
          </w:rPr>
          <w:tab/>
        </w:r>
        <w:r w:rsidR="008B6061">
          <w:rPr>
            <w:noProof/>
            <w:webHidden/>
          </w:rPr>
          <w:fldChar w:fldCharType="begin"/>
        </w:r>
        <w:r w:rsidR="008B6061">
          <w:rPr>
            <w:noProof/>
            <w:webHidden/>
          </w:rPr>
          <w:instrText xml:space="preserve"> PAGEREF _Toc448251229 \h </w:instrText>
        </w:r>
        <w:r w:rsidR="008B6061">
          <w:rPr>
            <w:noProof/>
            <w:webHidden/>
          </w:rPr>
        </w:r>
        <w:r w:rsidR="008B6061">
          <w:rPr>
            <w:noProof/>
            <w:webHidden/>
          </w:rPr>
          <w:fldChar w:fldCharType="separate"/>
        </w:r>
        <w:r w:rsidR="00156D5A">
          <w:rPr>
            <w:noProof/>
            <w:webHidden/>
          </w:rPr>
          <w:t>131</w:t>
        </w:r>
        <w:r w:rsidR="008B6061">
          <w:rPr>
            <w:noProof/>
            <w:webHidden/>
          </w:rPr>
          <w:fldChar w:fldCharType="end"/>
        </w:r>
      </w:hyperlink>
    </w:p>
    <w:p w:rsidR="008B6061" w:rsidRDefault="00967F08">
      <w:pPr>
        <w:pStyle w:val="41"/>
        <w:tabs>
          <w:tab w:val="right" w:leader="dot" w:pos="9345"/>
        </w:tabs>
        <w:rPr>
          <w:rFonts w:eastAsiaTheme="minorEastAsia" w:cstheme="minorBidi"/>
          <w:noProof/>
          <w:sz w:val="22"/>
          <w:szCs w:val="22"/>
        </w:rPr>
      </w:pPr>
      <w:hyperlink w:anchor="_Toc448251230" w:history="1">
        <w:r w:rsidR="008B6061" w:rsidRPr="0041705A">
          <w:rPr>
            <w:rStyle w:val="aa"/>
            <w:rFonts w:ascii="Arial" w:eastAsiaTheme="minorHAnsi" w:hAnsi="Arial" w:cs="Arial"/>
            <w:noProof/>
            <w:lang w:eastAsia="en-US"/>
          </w:rPr>
          <w:t>8.12.3.3. Сведения о страховании риска ответственности перед владельцами облигаций с ипотечным покрытием</w:t>
        </w:r>
        <w:r w:rsidR="008B6061">
          <w:rPr>
            <w:noProof/>
            <w:webHidden/>
          </w:rPr>
          <w:tab/>
        </w:r>
        <w:r w:rsidR="008B6061">
          <w:rPr>
            <w:noProof/>
            <w:webHidden/>
          </w:rPr>
          <w:fldChar w:fldCharType="begin"/>
        </w:r>
        <w:r w:rsidR="008B6061">
          <w:rPr>
            <w:noProof/>
            <w:webHidden/>
          </w:rPr>
          <w:instrText xml:space="preserve"> PAGEREF _Toc448251230 \h </w:instrText>
        </w:r>
        <w:r w:rsidR="008B6061">
          <w:rPr>
            <w:noProof/>
            <w:webHidden/>
          </w:rPr>
        </w:r>
        <w:r w:rsidR="008B6061">
          <w:rPr>
            <w:noProof/>
            <w:webHidden/>
          </w:rPr>
          <w:fldChar w:fldCharType="separate"/>
        </w:r>
        <w:r w:rsidR="00156D5A">
          <w:rPr>
            <w:noProof/>
            <w:webHidden/>
          </w:rPr>
          <w:t>132</w:t>
        </w:r>
        <w:r w:rsidR="008B6061">
          <w:rPr>
            <w:noProof/>
            <w:webHidden/>
          </w:rPr>
          <w:fldChar w:fldCharType="end"/>
        </w:r>
      </w:hyperlink>
    </w:p>
    <w:p w:rsidR="008B6061" w:rsidRDefault="00967F08">
      <w:pPr>
        <w:pStyle w:val="41"/>
        <w:tabs>
          <w:tab w:val="right" w:leader="dot" w:pos="9345"/>
        </w:tabs>
        <w:rPr>
          <w:rFonts w:eastAsiaTheme="minorEastAsia" w:cstheme="minorBidi"/>
          <w:noProof/>
          <w:sz w:val="22"/>
          <w:szCs w:val="22"/>
        </w:rPr>
      </w:pPr>
      <w:hyperlink w:anchor="_Toc448251231" w:history="1">
        <w:r w:rsidR="008B6061" w:rsidRPr="0041705A">
          <w:rPr>
            <w:rStyle w:val="aa"/>
            <w:rFonts w:ascii="Arial" w:eastAsiaTheme="minorHAnsi" w:hAnsi="Arial" w:cs="Arial"/>
            <w:noProof/>
            <w:lang w:eastAsia="en-US"/>
          </w:rPr>
          <w:t>8.12.3.4. Сведения о сервисном агенте, уполномоченном получать исполнение от должников, обеспеченные ипотекой требования к которым составляют ипотечное покрытие облигаций</w:t>
        </w:r>
        <w:r w:rsidR="008B6061">
          <w:rPr>
            <w:noProof/>
            <w:webHidden/>
          </w:rPr>
          <w:tab/>
        </w:r>
        <w:r w:rsidR="008B6061">
          <w:rPr>
            <w:noProof/>
            <w:webHidden/>
          </w:rPr>
          <w:fldChar w:fldCharType="begin"/>
        </w:r>
        <w:r w:rsidR="008B6061">
          <w:rPr>
            <w:noProof/>
            <w:webHidden/>
          </w:rPr>
          <w:instrText xml:space="preserve"> PAGEREF _Toc448251231 \h </w:instrText>
        </w:r>
        <w:r w:rsidR="008B6061">
          <w:rPr>
            <w:noProof/>
            <w:webHidden/>
          </w:rPr>
        </w:r>
        <w:r w:rsidR="008B6061">
          <w:rPr>
            <w:noProof/>
            <w:webHidden/>
          </w:rPr>
          <w:fldChar w:fldCharType="separate"/>
        </w:r>
        <w:r w:rsidR="00156D5A">
          <w:rPr>
            <w:noProof/>
            <w:webHidden/>
          </w:rPr>
          <w:t>132</w:t>
        </w:r>
        <w:r w:rsidR="008B6061">
          <w:rPr>
            <w:noProof/>
            <w:webHidden/>
          </w:rPr>
          <w:fldChar w:fldCharType="end"/>
        </w:r>
      </w:hyperlink>
    </w:p>
    <w:p w:rsidR="008B6061" w:rsidRDefault="00967F08">
      <w:pPr>
        <w:pStyle w:val="41"/>
        <w:tabs>
          <w:tab w:val="right" w:leader="dot" w:pos="9345"/>
        </w:tabs>
        <w:rPr>
          <w:rFonts w:eastAsiaTheme="minorEastAsia" w:cstheme="minorBidi"/>
          <w:noProof/>
          <w:sz w:val="22"/>
          <w:szCs w:val="22"/>
        </w:rPr>
      </w:pPr>
      <w:hyperlink w:anchor="_Toc448251232" w:history="1">
        <w:r w:rsidR="008B6061" w:rsidRPr="0041705A">
          <w:rPr>
            <w:rStyle w:val="aa"/>
            <w:rFonts w:ascii="Arial" w:eastAsiaTheme="minorHAnsi" w:hAnsi="Arial" w:cs="Arial"/>
            <w:noProof/>
            <w:lang w:eastAsia="en-US"/>
          </w:rPr>
          <w:t>8.12.3.5. Информация о составе, структуре и размере ипотечного покрытия</w:t>
        </w:r>
        <w:r w:rsidR="008B6061">
          <w:rPr>
            <w:noProof/>
            <w:webHidden/>
          </w:rPr>
          <w:tab/>
        </w:r>
        <w:r w:rsidR="008B6061">
          <w:rPr>
            <w:noProof/>
            <w:webHidden/>
          </w:rPr>
          <w:fldChar w:fldCharType="begin"/>
        </w:r>
        <w:r w:rsidR="008B6061">
          <w:rPr>
            <w:noProof/>
            <w:webHidden/>
          </w:rPr>
          <w:instrText xml:space="preserve"> PAGEREF _Toc448251232 \h </w:instrText>
        </w:r>
        <w:r w:rsidR="008B6061">
          <w:rPr>
            <w:noProof/>
            <w:webHidden/>
          </w:rPr>
        </w:r>
        <w:r w:rsidR="008B6061">
          <w:rPr>
            <w:noProof/>
            <w:webHidden/>
          </w:rPr>
          <w:fldChar w:fldCharType="separate"/>
        </w:r>
        <w:r w:rsidR="00156D5A">
          <w:rPr>
            <w:noProof/>
            <w:webHidden/>
          </w:rPr>
          <w:t>132</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233" w:history="1">
        <w:r w:rsidR="008B6061" w:rsidRPr="0041705A">
          <w:rPr>
            <w:rStyle w:val="aa"/>
            <w:rFonts w:ascii="Arial" w:eastAsiaTheme="minorHAnsi" w:hAnsi="Arial" w:cs="Arial"/>
            <w:b/>
            <w:noProof/>
            <w:lang w:eastAsia="en-US"/>
          </w:rPr>
          <w:t>8.12.4. Дополнительные сведения о размещаемых облигациях с залоговым обеспечением денежными требованиями</w:t>
        </w:r>
        <w:r w:rsidR="008B6061">
          <w:rPr>
            <w:noProof/>
            <w:webHidden/>
          </w:rPr>
          <w:tab/>
        </w:r>
        <w:r w:rsidR="008B6061">
          <w:rPr>
            <w:noProof/>
            <w:webHidden/>
          </w:rPr>
          <w:fldChar w:fldCharType="begin"/>
        </w:r>
        <w:r w:rsidR="008B6061">
          <w:rPr>
            <w:noProof/>
            <w:webHidden/>
          </w:rPr>
          <w:instrText xml:space="preserve"> PAGEREF _Toc448251233 \h </w:instrText>
        </w:r>
        <w:r w:rsidR="008B6061">
          <w:rPr>
            <w:noProof/>
            <w:webHidden/>
          </w:rPr>
        </w:r>
        <w:r w:rsidR="008B6061">
          <w:rPr>
            <w:noProof/>
            <w:webHidden/>
          </w:rPr>
          <w:fldChar w:fldCharType="separate"/>
        </w:r>
        <w:r w:rsidR="00156D5A">
          <w:rPr>
            <w:noProof/>
            <w:webHidden/>
          </w:rPr>
          <w:t>132</w:t>
        </w:r>
        <w:r w:rsidR="008B6061">
          <w:rPr>
            <w:noProof/>
            <w:webHidden/>
          </w:rPr>
          <w:fldChar w:fldCharType="end"/>
        </w:r>
      </w:hyperlink>
    </w:p>
    <w:p w:rsidR="008B6061" w:rsidRDefault="00967F08">
      <w:pPr>
        <w:pStyle w:val="41"/>
        <w:tabs>
          <w:tab w:val="right" w:leader="dot" w:pos="9345"/>
        </w:tabs>
        <w:rPr>
          <w:rFonts w:eastAsiaTheme="minorEastAsia" w:cstheme="minorBidi"/>
          <w:noProof/>
          <w:sz w:val="22"/>
          <w:szCs w:val="22"/>
        </w:rPr>
      </w:pPr>
      <w:hyperlink w:anchor="_Toc448251234" w:history="1">
        <w:r w:rsidR="008B6061" w:rsidRPr="0041705A">
          <w:rPr>
            <w:rStyle w:val="aa"/>
            <w:rFonts w:ascii="Arial" w:eastAsiaTheme="minorHAnsi" w:hAnsi="Arial" w:cs="Arial"/>
            <w:noProof/>
            <w:lang w:eastAsia="en-US"/>
          </w:rPr>
          <w:t>8.12.4.1. Сведения о лице, осуществляющем учет находящихся в залоге денежных требований и денежных сумм, зачисленных на залоговый счет</w:t>
        </w:r>
        <w:r w:rsidR="008B6061">
          <w:rPr>
            <w:noProof/>
            <w:webHidden/>
          </w:rPr>
          <w:tab/>
        </w:r>
        <w:r w:rsidR="008B6061">
          <w:rPr>
            <w:noProof/>
            <w:webHidden/>
          </w:rPr>
          <w:fldChar w:fldCharType="begin"/>
        </w:r>
        <w:r w:rsidR="008B6061">
          <w:rPr>
            <w:noProof/>
            <w:webHidden/>
          </w:rPr>
          <w:instrText xml:space="preserve"> PAGEREF _Toc448251234 \h </w:instrText>
        </w:r>
        <w:r w:rsidR="008B6061">
          <w:rPr>
            <w:noProof/>
            <w:webHidden/>
          </w:rPr>
        </w:r>
        <w:r w:rsidR="008B6061">
          <w:rPr>
            <w:noProof/>
            <w:webHidden/>
          </w:rPr>
          <w:fldChar w:fldCharType="separate"/>
        </w:r>
        <w:r w:rsidR="00156D5A">
          <w:rPr>
            <w:noProof/>
            <w:webHidden/>
          </w:rPr>
          <w:t>132</w:t>
        </w:r>
        <w:r w:rsidR="008B6061">
          <w:rPr>
            <w:noProof/>
            <w:webHidden/>
          </w:rPr>
          <w:fldChar w:fldCharType="end"/>
        </w:r>
      </w:hyperlink>
    </w:p>
    <w:p w:rsidR="008B6061" w:rsidRDefault="00967F08">
      <w:pPr>
        <w:pStyle w:val="41"/>
        <w:tabs>
          <w:tab w:val="right" w:leader="dot" w:pos="9345"/>
        </w:tabs>
        <w:rPr>
          <w:rFonts w:eastAsiaTheme="minorEastAsia" w:cstheme="minorBidi"/>
          <w:noProof/>
          <w:sz w:val="22"/>
          <w:szCs w:val="22"/>
        </w:rPr>
      </w:pPr>
      <w:hyperlink w:anchor="_Toc448251235" w:history="1">
        <w:r w:rsidR="008B6061" w:rsidRPr="0041705A">
          <w:rPr>
            <w:rStyle w:val="aa"/>
            <w:rFonts w:ascii="Arial" w:eastAsiaTheme="minorHAnsi" w:hAnsi="Arial" w:cs="Arial"/>
            <w:noProof/>
            <w:lang w:eastAsia="en-US"/>
          </w:rPr>
          <w:t>8.12.4.2. Сведения о выпусках облигаций с залоговым обеспечением денежными требованиями и денежных требованиях из заключенных эмитентом договоров, исполнение обязательств по которым обеспечивается (может быть обеспечено) данным залоговым обеспечением</w:t>
        </w:r>
        <w:r w:rsidR="008B6061">
          <w:rPr>
            <w:noProof/>
            <w:webHidden/>
          </w:rPr>
          <w:tab/>
        </w:r>
        <w:r w:rsidR="008B6061">
          <w:rPr>
            <w:noProof/>
            <w:webHidden/>
          </w:rPr>
          <w:fldChar w:fldCharType="begin"/>
        </w:r>
        <w:r w:rsidR="008B6061">
          <w:rPr>
            <w:noProof/>
            <w:webHidden/>
          </w:rPr>
          <w:instrText xml:space="preserve"> PAGEREF _Toc448251235 \h </w:instrText>
        </w:r>
        <w:r w:rsidR="008B6061">
          <w:rPr>
            <w:noProof/>
            <w:webHidden/>
          </w:rPr>
        </w:r>
        <w:r w:rsidR="008B6061">
          <w:rPr>
            <w:noProof/>
            <w:webHidden/>
          </w:rPr>
          <w:fldChar w:fldCharType="separate"/>
        </w:r>
        <w:r w:rsidR="00156D5A">
          <w:rPr>
            <w:noProof/>
            <w:webHidden/>
          </w:rPr>
          <w:t>132</w:t>
        </w:r>
        <w:r w:rsidR="008B6061">
          <w:rPr>
            <w:noProof/>
            <w:webHidden/>
          </w:rPr>
          <w:fldChar w:fldCharType="end"/>
        </w:r>
      </w:hyperlink>
    </w:p>
    <w:p w:rsidR="008B6061" w:rsidRDefault="00967F08">
      <w:pPr>
        <w:pStyle w:val="41"/>
        <w:tabs>
          <w:tab w:val="right" w:leader="dot" w:pos="9345"/>
        </w:tabs>
        <w:rPr>
          <w:rFonts w:eastAsiaTheme="minorEastAsia" w:cstheme="minorBidi"/>
          <w:noProof/>
          <w:sz w:val="22"/>
          <w:szCs w:val="22"/>
        </w:rPr>
      </w:pPr>
      <w:hyperlink w:anchor="_Toc448251236" w:history="1">
        <w:r w:rsidR="008B6061" w:rsidRPr="0041705A">
          <w:rPr>
            <w:rStyle w:val="aa"/>
            <w:rFonts w:ascii="Arial" w:eastAsiaTheme="minorHAnsi" w:hAnsi="Arial" w:cs="Arial"/>
            <w:noProof/>
            <w:lang w:eastAsia="en-US"/>
          </w:rPr>
          <w:t>8.12.4.3. Сведения о страховании риска убытков, связанных с неисполнением обязательств по находящимся в залоге денежным требованиям, и (или) риска ответственности за неисполнение обязательств по облигациям с залоговым обеспечением денежными требованиями</w:t>
        </w:r>
        <w:r w:rsidR="008B6061">
          <w:rPr>
            <w:noProof/>
            <w:webHidden/>
          </w:rPr>
          <w:tab/>
        </w:r>
        <w:r w:rsidR="008B6061">
          <w:rPr>
            <w:noProof/>
            <w:webHidden/>
          </w:rPr>
          <w:fldChar w:fldCharType="begin"/>
        </w:r>
        <w:r w:rsidR="008B6061">
          <w:rPr>
            <w:noProof/>
            <w:webHidden/>
          </w:rPr>
          <w:instrText xml:space="preserve"> PAGEREF _Toc448251236 \h </w:instrText>
        </w:r>
        <w:r w:rsidR="008B6061">
          <w:rPr>
            <w:noProof/>
            <w:webHidden/>
          </w:rPr>
        </w:r>
        <w:r w:rsidR="008B6061">
          <w:rPr>
            <w:noProof/>
            <w:webHidden/>
          </w:rPr>
          <w:fldChar w:fldCharType="separate"/>
        </w:r>
        <w:r w:rsidR="00156D5A">
          <w:rPr>
            <w:noProof/>
            <w:webHidden/>
          </w:rPr>
          <w:t>132</w:t>
        </w:r>
        <w:r w:rsidR="008B6061">
          <w:rPr>
            <w:noProof/>
            <w:webHidden/>
          </w:rPr>
          <w:fldChar w:fldCharType="end"/>
        </w:r>
      </w:hyperlink>
    </w:p>
    <w:p w:rsidR="008B6061" w:rsidRDefault="00967F08">
      <w:pPr>
        <w:pStyle w:val="41"/>
        <w:tabs>
          <w:tab w:val="right" w:leader="dot" w:pos="9345"/>
        </w:tabs>
        <w:rPr>
          <w:rFonts w:eastAsiaTheme="minorEastAsia" w:cstheme="minorBidi"/>
          <w:noProof/>
          <w:sz w:val="22"/>
          <w:szCs w:val="22"/>
        </w:rPr>
      </w:pPr>
      <w:hyperlink w:anchor="_Toc448251237" w:history="1">
        <w:r w:rsidR="008B6061" w:rsidRPr="0041705A">
          <w:rPr>
            <w:rStyle w:val="aa"/>
            <w:rFonts w:ascii="Arial" w:eastAsiaTheme="minorHAnsi" w:hAnsi="Arial" w:cs="Arial"/>
            <w:noProof/>
            <w:lang w:eastAsia="en-US"/>
          </w:rPr>
          <w:t>8.12.4.4. Сведения об организациях, обслуживающих находящиеся в залоге денежные требования</w:t>
        </w:r>
        <w:r w:rsidR="008B6061">
          <w:rPr>
            <w:noProof/>
            <w:webHidden/>
          </w:rPr>
          <w:tab/>
        </w:r>
        <w:r w:rsidR="008B6061">
          <w:rPr>
            <w:noProof/>
            <w:webHidden/>
          </w:rPr>
          <w:fldChar w:fldCharType="begin"/>
        </w:r>
        <w:r w:rsidR="008B6061">
          <w:rPr>
            <w:noProof/>
            <w:webHidden/>
          </w:rPr>
          <w:instrText xml:space="preserve"> PAGEREF _Toc448251237 \h </w:instrText>
        </w:r>
        <w:r w:rsidR="008B6061">
          <w:rPr>
            <w:noProof/>
            <w:webHidden/>
          </w:rPr>
        </w:r>
        <w:r w:rsidR="008B6061">
          <w:rPr>
            <w:noProof/>
            <w:webHidden/>
          </w:rPr>
          <w:fldChar w:fldCharType="separate"/>
        </w:r>
        <w:r w:rsidR="00156D5A">
          <w:rPr>
            <w:noProof/>
            <w:webHidden/>
          </w:rPr>
          <w:t>132</w:t>
        </w:r>
        <w:r w:rsidR="008B6061">
          <w:rPr>
            <w:noProof/>
            <w:webHidden/>
          </w:rPr>
          <w:fldChar w:fldCharType="end"/>
        </w:r>
      </w:hyperlink>
    </w:p>
    <w:p w:rsidR="008B6061" w:rsidRDefault="00967F08">
      <w:pPr>
        <w:pStyle w:val="41"/>
        <w:tabs>
          <w:tab w:val="right" w:leader="dot" w:pos="9345"/>
        </w:tabs>
        <w:rPr>
          <w:rFonts w:eastAsiaTheme="minorEastAsia" w:cstheme="minorBidi"/>
          <w:noProof/>
          <w:sz w:val="22"/>
          <w:szCs w:val="22"/>
        </w:rPr>
      </w:pPr>
      <w:hyperlink w:anchor="_Toc448251238" w:history="1">
        <w:r w:rsidR="008B6061" w:rsidRPr="0041705A">
          <w:rPr>
            <w:rStyle w:val="aa"/>
            <w:rFonts w:ascii="Arial" w:eastAsiaTheme="minorHAnsi" w:hAnsi="Arial" w:cs="Arial"/>
            <w:noProof/>
            <w:lang w:eastAsia="en-US"/>
          </w:rPr>
          <w:t>8.12.4.5. Информация о составе, структуре и стоимости (размере) залогового обеспечения облигаций, в состав которого входят денежные требования</w:t>
        </w:r>
        <w:r w:rsidR="008B6061">
          <w:rPr>
            <w:noProof/>
            <w:webHidden/>
          </w:rPr>
          <w:tab/>
        </w:r>
        <w:r w:rsidR="008B6061">
          <w:rPr>
            <w:noProof/>
            <w:webHidden/>
          </w:rPr>
          <w:fldChar w:fldCharType="begin"/>
        </w:r>
        <w:r w:rsidR="008B6061">
          <w:rPr>
            <w:noProof/>
            <w:webHidden/>
          </w:rPr>
          <w:instrText xml:space="preserve"> PAGEREF _Toc448251238 \h </w:instrText>
        </w:r>
        <w:r w:rsidR="008B6061">
          <w:rPr>
            <w:noProof/>
            <w:webHidden/>
          </w:rPr>
        </w:r>
        <w:r w:rsidR="008B6061">
          <w:rPr>
            <w:noProof/>
            <w:webHidden/>
          </w:rPr>
          <w:fldChar w:fldCharType="separate"/>
        </w:r>
        <w:r w:rsidR="00156D5A">
          <w:rPr>
            <w:noProof/>
            <w:webHidden/>
          </w:rPr>
          <w:t>133</w:t>
        </w:r>
        <w:r w:rsidR="008B6061">
          <w:rPr>
            <w:noProof/>
            <w:webHidden/>
          </w:rPr>
          <w:fldChar w:fldCharType="end"/>
        </w:r>
      </w:hyperlink>
    </w:p>
    <w:p w:rsidR="008B6061" w:rsidRDefault="00967F08">
      <w:pPr>
        <w:pStyle w:val="41"/>
        <w:tabs>
          <w:tab w:val="right" w:leader="dot" w:pos="9345"/>
        </w:tabs>
        <w:rPr>
          <w:rFonts w:eastAsiaTheme="minorEastAsia" w:cstheme="minorBidi"/>
          <w:noProof/>
          <w:sz w:val="22"/>
          <w:szCs w:val="22"/>
        </w:rPr>
      </w:pPr>
      <w:hyperlink w:anchor="_Toc448251239" w:history="1">
        <w:r w:rsidR="008B6061" w:rsidRPr="0041705A">
          <w:rPr>
            <w:rStyle w:val="aa"/>
            <w:rFonts w:ascii="Arial" w:eastAsiaTheme="minorHAnsi" w:hAnsi="Arial" w:cs="Arial"/>
            <w:noProof/>
            <w:lang w:eastAsia="en-US"/>
          </w:rPr>
          <w:t>8.12.4.6. Информация о формах, способах принятия и объеме рисков, принимаемых первоначальными и (или) последующими кредиторами по обязательствам, денежные требования по которым составляют залоговое обеспечение</w:t>
        </w:r>
        <w:r w:rsidR="008B6061">
          <w:rPr>
            <w:noProof/>
            <w:webHidden/>
          </w:rPr>
          <w:tab/>
        </w:r>
        <w:r w:rsidR="008B6061">
          <w:rPr>
            <w:noProof/>
            <w:webHidden/>
          </w:rPr>
          <w:fldChar w:fldCharType="begin"/>
        </w:r>
        <w:r w:rsidR="008B6061">
          <w:rPr>
            <w:noProof/>
            <w:webHidden/>
          </w:rPr>
          <w:instrText xml:space="preserve"> PAGEREF _Toc448251239 \h </w:instrText>
        </w:r>
        <w:r w:rsidR="008B6061">
          <w:rPr>
            <w:noProof/>
            <w:webHidden/>
          </w:rPr>
        </w:r>
        <w:r w:rsidR="008B6061">
          <w:rPr>
            <w:noProof/>
            <w:webHidden/>
          </w:rPr>
          <w:fldChar w:fldCharType="separate"/>
        </w:r>
        <w:r w:rsidR="00156D5A">
          <w:rPr>
            <w:noProof/>
            <w:webHidden/>
          </w:rPr>
          <w:t>133</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240" w:history="1">
        <w:r w:rsidR="008B6061" w:rsidRPr="0041705A">
          <w:rPr>
            <w:rStyle w:val="aa"/>
            <w:rFonts w:ascii="Arial" w:eastAsiaTheme="minorHAnsi" w:hAnsi="Arial" w:cs="Arial"/>
            <w:b/>
            <w:i/>
            <w:noProof/>
            <w:lang w:eastAsia="en-US"/>
          </w:rPr>
          <w:t>8.13. Сведения о представителе владельцев облигаций</w:t>
        </w:r>
        <w:r w:rsidR="008B6061">
          <w:rPr>
            <w:noProof/>
            <w:webHidden/>
          </w:rPr>
          <w:tab/>
        </w:r>
        <w:r w:rsidR="008B6061">
          <w:rPr>
            <w:noProof/>
            <w:webHidden/>
          </w:rPr>
          <w:fldChar w:fldCharType="begin"/>
        </w:r>
        <w:r w:rsidR="008B6061">
          <w:rPr>
            <w:noProof/>
            <w:webHidden/>
          </w:rPr>
          <w:instrText xml:space="preserve"> PAGEREF _Toc448251240 \h </w:instrText>
        </w:r>
        <w:r w:rsidR="008B6061">
          <w:rPr>
            <w:noProof/>
            <w:webHidden/>
          </w:rPr>
        </w:r>
        <w:r w:rsidR="008B6061">
          <w:rPr>
            <w:noProof/>
            <w:webHidden/>
          </w:rPr>
          <w:fldChar w:fldCharType="separate"/>
        </w:r>
        <w:r w:rsidR="00156D5A">
          <w:rPr>
            <w:noProof/>
            <w:webHidden/>
          </w:rPr>
          <w:t>133</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241" w:history="1">
        <w:r w:rsidR="008B6061" w:rsidRPr="0041705A">
          <w:rPr>
            <w:rStyle w:val="aa"/>
            <w:rFonts w:ascii="Arial" w:eastAsiaTheme="minorHAnsi" w:hAnsi="Arial" w:cs="Arial"/>
            <w:b/>
            <w:i/>
            <w:noProof/>
            <w:lang w:eastAsia="en-US"/>
          </w:rPr>
          <w:t>8.14. Сведения об отнесении приобретения облигаций к категории инвестиций с повышенным риском</w:t>
        </w:r>
        <w:r w:rsidR="008B6061">
          <w:rPr>
            <w:noProof/>
            <w:webHidden/>
          </w:rPr>
          <w:tab/>
        </w:r>
        <w:r w:rsidR="008B6061">
          <w:rPr>
            <w:noProof/>
            <w:webHidden/>
          </w:rPr>
          <w:fldChar w:fldCharType="begin"/>
        </w:r>
        <w:r w:rsidR="008B6061">
          <w:rPr>
            <w:noProof/>
            <w:webHidden/>
          </w:rPr>
          <w:instrText xml:space="preserve"> PAGEREF _Toc448251241 \h </w:instrText>
        </w:r>
        <w:r w:rsidR="008B6061">
          <w:rPr>
            <w:noProof/>
            <w:webHidden/>
          </w:rPr>
        </w:r>
        <w:r w:rsidR="008B6061">
          <w:rPr>
            <w:noProof/>
            <w:webHidden/>
          </w:rPr>
          <w:fldChar w:fldCharType="separate"/>
        </w:r>
        <w:r w:rsidR="00156D5A">
          <w:rPr>
            <w:noProof/>
            <w:webHidden/>
          </w:rPr>
          <w:t>133</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242" w:history="1">
        <w:r w:rsidR="008B6061" w:rsidRPr="0041705A">
          <w:rPr>
            <w:rStyle w:val="aa"/>
            <w:rFonts w:ascii="Arial" w:eastAsiaTheme="minorHAnsi" w:hAnsi="Arial" w:cs="Arial"/>
            <w:b/>
            <w:i/>
            <w:noProof/>
            <w:lang w:eastAsia="en-US"/>
          </w:rPr>
          <w:t>8.15. Дополнительные сведения о размещаемых российских депозитарных расписках</w:t>
        </w:r>
        <w:r w:rsidR="008B6061">
          <w:rPr>
            <w:noProof/>
            <w:webHidden/>
          </w:rPr>
          <w:tab/>
        </w:r>
        <w:r w:rsidR="008B6061">
          <w:rPr>
            <w:noProof/>
            <w:webHidden/>
          </w:rPr>
          <w:fldChar w:fldCharType="begin"/>
        </w:r>
        <w:r w:rsidR="008B6061">
          <w:rPr>
            <w:noProof/>
            <w:webHidden/>
          </w:rPr>
          <w:instrText xml:space="preserve"> PAGEREF _Toc448251242 \h </w:instrText>
        </w:r>
        <w:r w:rsidR="008B6061">
          <w:rPr>
            <w:noProof/>
            <w:webHidden/>
          </w:rPr>
        </w:r>
        <w:r w:rsidR="008B6061">
          <w:rPr>
            <w:noProof/>
            <w:webHidden/>
          </w:rPr>
          <w:fldChar w:fldCharType="separate"/>
        </w:r>
        <w:r w:rsidR="00156D5A">
          <w:rPr>
            <w:noProof/>
            <w:webHidden/>
          </w:rPr>
          <w:t>133</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243" w:history="1">
        <w:r w:rsidR="008B6061" w:rsidRPr="0041705A">
          <w:rPr>
            <w:rStyle w:val="aa"/>
            <w:rFonts w:ascii="Arial" w:eastAsiaTheme="minorHAnsi" w:hAnsi="Arial" w:cs="Arial"/>
            <w:b/>
            <w:noProof/>
            <w:lang w:eastAsia="en-US"/>
          </w:rPr>
          <w:t>8.15.1. Дополнительные сведения о представляемых ценных бумагах, право собственности на которые удостоверяется российскими депозитарными расписками</w:t>
        </w:r>
        <w:r w:rsidR="008B6061">
          <w:rPr>
            <w:noProof/>
            <w:webHidden/>
          </w:rPr>
          <w:tab/>
        </w:r>
        <w:r w:rsidR="008B6061">
          <w:rPr>
            <w:noProof/>
            <w:webHidden/>
          </w:rPr>
          <w:fldChar w:fldCharType="begin"/>
        </w:r>
        <w:r w:rsidR="008B6061">
          <w:rPr>
            <w:noProof/>
            <w:webHidden/>
          </w:rPr>
          <w:instrText xml:space="preserve"> PAGEREF _Toc448251243 \h </w:instrText>
        </w:r>
        <w:r w:rsidR="008B6061">
          <w:rPr>
            <w:noProof/>
            <w:webHidden/>
          </w:rPr>
        </w:r>
        <w:r w:rsidR="008B6061">
          <w:rPr>
            <w:noProof/>
            <w:webHidden/>
          </w:rPr>
          <w:fldChar w:fldCharType="separate"/>
        </w:r>
        <w:r w:rsidR="00156D5A">
          <w:rPr>
            <w:noProof/>
            <w:webHidden/>
          </w:rPr>
          <w:t>133</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244" w:history="1">
        <w:r w:rsidR="008B6061" w:rsidRPr="0041705A">
          <w:rPr>
            <w:rStyle w:val="aa"/>
            <w:rFonts w:ascii="Arial" w:eastAsiaTheme="minorHAnsi" w:hAnsi="Arial" w:cs="Arial"/>
            <w:b/>
            <w:noProof/>
            <w:lang w:eastAsia="en-US"/>
          </w:rPr>
          <w:t>8.15.2. Сведения об эмитенте представляемых ценных бумаг, право собственности на которые удостоверяется российскими депозитарными расписками</w:t>
        </w:r>
        <w:r w:rsidR="008B6061">
          <w:rPr>
            <w:noProof/>
            <w:webHidden/>
          </w:rPr>
          <w:tab/>
        </w:r>
        <w:r w:rsidR="008B6061">
          <w:rPr>
            <w:noProof/>
            <w:webHidden/>
          </w:rPr>
          <w:fldChar w:fldCharType="begin"/>
        </w:r>
        <w:r w:rsidR="008B6061">
          <w:rPr>
            <w:noProof/>
            <w:webHidden/>
          </w:rPr>
          <w:instrText xml:space="preserve"> PAGEREF _Toc448251244 \h </w:instrText>
        </w:r>
        <w:r w:rsidR="008B6061">
          <w:rPr>
            <w:noProof/>
            <w:webHidden/>
          </w:rPr>
        </w:r>
        <w:r w:rsidR="008B6061">
          <w:rPr>
            <w:noProof/>
            <w:webHidden/>
          </w:rPr>
          <w:fldChar w:fldCharType="separate"/>
        </w:r>
        <w:r w:rsidR="00156D5A">
          <w:rPr>
            <w:noProof/>
            <w:webHidden/>
          </w:rPr>
          <w:t>133</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245" w:history="1">
        <w:r w:rsidR="008B6061" w:rsidRPr="0041705A">
          <w:rPr>
            <w:rStyle w:val="aa"/>
            <w:rFonts w:ascii="Arial" w:eastAsiaTheme="minorHAnsi" w:hAnsi="Arial" w:cs="Arial"/>
            <w:b/>
            <w:i/>
            <w:noProof/>
            <w:lang w:eastAsia="en-US"/>
          </w:rPr>
          <w:t>8.16. Наличие ограничений на приобретение и обращение размещаемых эмиссионных ценных бумаг</w:t>
        </w:r>
        <w:r w:rsidR="008B6061">
          <w:rPr>
            <w:noProof/>
            <w:webHidden/>
          </w:rPr>
          <w:tab/>
        </w:r>
        <w:r w:rsidR="008B6061">
          <w:rPr>
            <w:noProof/>
            <w:webHidden/>
          </w:rPr>
          <w:fldChar w:fldCharType="begin"/>
        </w:r>
        <w:r w:rsidR="008B6061">
          <w:rPr>
            <w:noProof/>
            <w:webHidden/>
          </w:rPr>
          <w:instrText xml:space="preserve"> PAGEREF _Toc448251245 \h </w:instrText>
        </w:r>
        <w:r w:rsidR="008B6061">
          <w:rPr>
            <w:noProof/>
            <w:webHidden/>
          </w:rPr>
        </w:r>
        <w:r w:rsidR="008B6061">
          <w:rPr>
            <w:noProof/>
            <w:webHidden/>
          </w:rPr>
          <w:fldChar w:fldCharType="separate"/>
        </w:r>
        <w:r w:rsidR="00156D5A">
          <w:rPr>
            <w:noProof/>
            <w:webHidden/>
          </w:rPr>
          <w:t>133</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246" w:history="1">
        <w:r w:rsidR="008B6061" w:rsidRPr="0041705A">
          <w:rPr>
            <w:rStyle w:val="aa"/>
            <w:rFonts w:ascii="Arial" w:eastAsiaTheme="minorHAnsi" w:hAnsi="Arial" w:cs="Arial"/>
            <w:b/>
            <w:i/>
            <w:noProof/>
            <w:lang w:eastAsia="en-US"/>
          </w:rPr>
          <w:t>8.17. Сведения о динамике изменения цен на эмиссионные ценные бумаги эмитента</w:t>
        </w:r>
        <w:r w:rsidR="008B6061">
          <w:rPr>
            <w:noProof/>
            <w:webHidden/>
          </w:rPr>
          <w:tab/>
        </w:r>
        <w:r w:rsidR="008B6061">
          <w:rPr>
            <w:noProof/>
            <w:webHidden/>
          </w:rPr>
          <w:fldChar w:fldCharType="begin"/>
        </w:r>
        <w:r w:rsidR="008B6061">
          <w:rPr>
            <w:noProof/>
            <w:webHidden/>
          </w:rPr>
          <w:instrText xml:space="preserve"> PAGEREF _Toc448251246 \h </w:instrText>
        </w:r>
        <w:r w:rsidR="008B6061">
          <w:rPr>
            <w:noProof/>
            <w:webHidden/>
          </w:rPr>
        </w:r>
        <w:r w:rsidR="008B6061">
          <w:rPr>
            <w:noProof/>
            <w:webHidden/>
          </w:rPr>
          <w:fldChar w:fldCharType="separate"/>
        </w:r>
        <w:r w:rsidR="00156D5A">
          <w:rPr>
            <w:noProof/>
            <w:webHidden/>
          </w:rPr>
          <w:t>134</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247" w:history="1">
        <w:r w:rsidR="008B6061" w:rsidRPr="0041705A">
          <w:rPr>
            <w:rStyle w:val="aa"/>
            <w:rFonts w:ascii="Arial" w:eastAsiaTheme="minorHAnsi" w:hAnsi="Arial" w:cs="Arial"/>
            <w:b/>
            <w:i/>
            <w:noProof/>
            <w:lang w:eastAsia="en-US"/>
          </w:rPr>
          <w:t>8.18. Сведения об организаторах торговли, на которых предполагается размещение и (или) обращение размещаемых эмиссионных ценных бумаг</w:t>
        </w:r>
        <w:r w:rsidR="008B6061">
          <w:rPr>
            <w:noProof/>
            <w:webHidden/>
          </w:rPr>
          <w:tab/>
        </w:r>
        <w:r w:rsidR="008B6061">
          <w:rPr>
            <w:noProof/>
            <w:webHidden/>
          </w:rPr>
          <w:fldChar w:fldCharType="begin"/>
        </w:r>
        <w:r w:rsidR="008B6061">
          <w:rPr>
            <w:noProof/>
            <w:webHidden/>
          </w:rPr>
          <w:instrText xml:space="preserve"> PAGEREF _Toc448251247 \h </w:instrText>
        </w:r>
        <w:r w:rsidR="008B6061">
          <w:rPr>
            <w:noProof/>
            <w:webHidden/>
          </w:rPr>
        </w:r>
        <w:r w:rsidR="008B6061">
          <w:rPr>
            <w:noProof/>
            <w:webHidden/>
          </w:rPr>
          <w:fldChar w:fldCharType="separate"/>
        </w:r>
        <w:r w:rsidR="00156D5A">
          <w:rPr>
            <w:noProof/>
            <w:webHidden/>
          </w:rPr>
          <w:t>135</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248" w:history="1">
        <w:r w:rsidR="008B6061" w:rsidRPr="0041705A">
          <w:rPr>
            <w:rStyle w:val="aa"/>
            <w:rFonts w:ascii="Arial" w:eastAsiaTheme="minorHAnsi" w:hAnsi="Arial" w:cs="Arial"/>
            <w:b/>
            <w:i/>
            <w:noProof/>
            <w:lang w:eastAsia="en-US"/>
          </w:rPr>
          <w:t>8.19. Иные сведения о размещаемых ценных бумагах</w:t>
        </w:r>
        <w:r w:rsidR="008B6061">
          <w:rPr>
            <w:noProof/>
            <w:webHidden/>
          </w:rPr>
          <w:tab/>
        </w:r>
        <w:r w:rsidR="008B6061">
          <w:rPr>
            <w:noProof/>
            <w:webHidden/>
          </w:rPr>
          <w:fldChar w:fldCharType="begin"/>
        </w:r>
        <w:r w:rsidR="008B6061">
          <w:rPr>
            <w:noProof/>
            <w:webHidden/>
          </w:rPr>
          <w:instrText xml:space="preserve"> PAGEREF _Toc448251248 \h </w:instrText>
        </w:r>
        <w:r w:rsidR="008B6061">
          <w:rPr>
            <w:noProof/>
            <w:webHidden/>
          </w:rPr>
        </w:r>
        <w:r w:rsidR="008B6061">
          <w:rPr>
            <w:noProof/>
            <w:webHidden/>
          </w:rPr>
          <w:fldChar w:fldCharType="separate"/>
        </w:r>
        <w:r w:rsidR="00156D5A">
          <w:rPr>
            <w:noProof/>
            <w:webHidden/>
          </w:rPr>
          <w:t>136</w:t>
        </w:r>
        <w:r w:rsidR="008B6061">
          <w:rPr>
            <w:noProof/>
            <w:webHidden/>
          </w:rPr>
          <w:fldChar w:fldCharType="end"/>
        </w:r>
      </w:hyperlink>
    </w:p>
    <w:p w:rsidR="008B6061" w:rsidRDefault="00967F08" w:rsidP="008B6061">
      <w:pPr>
        <w:pStyle w:val="12"/>
        <w:rPr>
          <w:rFonts w:eastAsiaTheme="minorEastAsia" w:cstheme="minorBidi"/>
          <w:sz w:val="22"/>
          <w:szCs w:val="22"/>
        </w:rPr>
      </w:pPr>
      <w:hyperlink w:anchor="_Toc448251249" w:history="1">
        <w:r w:rsidR="008B6061" w:rsidRPr="0041705A">
          <w:rPr>
            <w:rStyle w:val="aa"/>
          </w:rPr>
          <w:t>Раздел IX. Дополнительные сведения об эмитенте и о размещенных им эмиссионных ценных бумагах</w:t>
        </w:r>
        <w:r w:rsidR="008B6061">
          <w:rPr>
            <w:webHidden/>
          </w:rPr>
          <w:tab/>
        </w:r>
        <w:r w:rsidR="008B6061">
          <w:rPr>
            <w:webHidden/>
          </w:rPr>
          <w:fldChar w:fldCharType="begin"/>
        </w:r>
        <w:r w:rsidR="008B6061">
          <w:rPr>
            <w:webHidden/>
          </w:rPr>
          <w:instrText xml:space="preserve"> PAGEREF _Toc448251249 \h </w:instrText>
        </w:r>
        <w:r w:rsidR="008B6061">
          <w:rPr>
            <w:webHidden/>
          </w:rPr>
        </w:r>
        <w:r w:rsidR="008B6061">
          <w:rPr>
            <w:webHidden/>
          </w:rPr>
          <w:fldChar w:fldCharType="separate"/>
        </w:r>
        <w:r w:rsidR="00156D5A">
          <w:rPr>
            <w:webHidden/>
          </w:rPr>
          <w:t>139</w:t>
        </w:r>
        <w:r w:rsidR="008B6061">
          <w:rPr>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250" w:history="1">
        <w:r w:rsidR="008B6061" w:rsidRPr="0041705A">
          <w:rPr>
            <w:rStyle w:val="aa"/>
            <w:rFonts w:ascii="Arial" w:eastAsiaTheme="minorHAnsi" w:hAnsi="Arial" w:cs="Arial"/>
            <w:b/>
            <w:i/>
            <w:noProof/>
            <w:lang w:eastAsia="en-US"/>
          </w:rPr>
          <w:t>9.1. Дополнительные сведения об эмитенте</w:t>
        </w:r>
        <w:r w:rsidR="008B6061">
          <w:rPr>
            <w:noProof/>
            <w:webHidden/>
          </w:rPr>
          <w:tab/>
        </w:r>
        <w:r w:rsidR="008B6061">
          <w:rPr>
            <w:noProof/>
            <w:webHidden/>
          </w:rPr>
          <w:fldChar w:fldCharType="begin"/>
        </w:r>
        <w:r w:rsidR="008B6061">
          <w:rPr>
            <w:noProof/>
            <w:webHidden/>
          </w:rPr>
          <w:instrText xml:space="preserve"> PAGEREF _Toc448251250 \h </w:instrText>
        </w:r>
        <w:r w:rsidR="008B6061">
          <w:rPr>
            <w:noProof/>
            <w:webHidden/>
          </w:rPr>
        </w:r>
        <w:r w:rsidR="008B6061">
          <w:rPr>
            <w:noProof/>
            <w:webHidden/>
          </w:rPr>
          <w:fldChar w:fldCharType="separate"/>
        </w:r>
        <w:r w:rsidR="00156D5A">
          <w:rPr>
            <w:noProof/>
            <w:webHidden/>
          </w:rPr>
          <w:t>139</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251" w:history="1">
        <w:r w:rsidR="008B6061" w:rsidRPr="0041705A">
          <w:rPr>
            <w:rStyle w:val="aa"/>
            <w:b/>
            <w:noProof/>
          </w:rPr>
          <w:t>9.1.1. Сведения о размере, структуре уставного капитала эмитента</w:t>
        </w:r>
        <w:r w:rsidR="008B6061">
          <w:rPr>
            <w:noProof/>
            <w:webHidden/>
          </w:rPr>
          <w:tab/>
        </w:r>
        <w:r w:rsidR="008B6061">
          <w:rPr>
            <w:noProof/>
            <w:webHidden/>
          </w:rPr>
          <w:fldChar w:fldCharType="begin"/>
        </w:r>
        <w:r w:rsidR="008B6061">
          <w:rPr>
            <w:noProof/>
            <w:webHidden/>
          </w:rPr>
          <w:instrText xml:space="preserve"> PAGEREF _Toc448251251 \h </w:instrText>
        </w:r>
        <w:r w:rsidR="008B6061">
          <w:rPr>
            <w:noProof/>
            <w:webHidden/>
          </w:rPr>
        </w:r>
        <w:r w:rsidR="008B6061">
          <w:rPr>
            <w:noProof/>
            <w:webHidden/>
          </w:rPr>
          <w:fldChar w:fldCharType="separate"/>
        </w:r>
        <w:r w:rsidR="00156D5A">
          <w:rPr>
            <w:noProof/>
            <w:webHidden/>
          </w:rPr>
          <w:t>139</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252" w:history="1">
        <w:r w:rsidR="008B6061" w:rsidRPr="0041705A">
          <w:rPr>
            <w:rStyle w:val="aa"/>
            <w:b/>
            <w:noProof/>
          </w:rPr>
          <w:t>9.1.2. Сведения об изменении размера уставного капитала эмитента</w:t>
        </w:r>
        <w:r w:rsidR="008B6061">
          <w:rPr>
            <w:noProof/>
            <w:webHidden/>
          </w:rPr>
          <w:tab/>
        </w:r>
        <w:r w:rsidR="008B6061">
          <w:rPr>
            <w:noProof/>
            <w:webHidden/>
          </w:rPr>
          <w:fldChar w:fldCharType="begin"/>
        </w:r>
        <w:r w:rsidR="008B6061">
          <w:rPr>
            <w:noProof/>
            <w:webHidden/>
          </w:rPr>
          <w:instrText xml:space="preserve"> PAGEREF _Toc448251252 \h </w:instrText>
        </w:r>
        <w:r w:rsidR="008B6061">
          <w:rPr>
            <w:noProof/>
            <w:webHidden/>
          </w:rPr>
        </w:r>
        <w:r w:rsidR="008B6061">
          <w:rPr>
            <w:noProof/>
            <w:webHidden/>
          </w:rPr>
          <w:fldChar w:fldCharType="separate"/>
        </w:r>
        <w:r w:rsidR="00156D5A">
          <w:rPr>
            <w:noProof/>
            <w:webHidden/>
          </w:rPr>
          <w:t>139</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253" w:history="1">
        <w:r w:rsidR="008B6061" w:rsidRPr="0041705A">
          <w:rPr>
            <w:rStyle w:val="aa"/>
            <w:b/>
            <w:noProof/>
          </w:rPr>
          <w:t>9.1.3. Сведения о порядке созыва и проведения собрания (заседания) высшего органа управления эмитента</w:t>
        </w:r>
        <w:r w:rsidR="008B6061">
          <w:rPr>
            <w:noProof/>
            <w:webHidden/>
          </w:rPr>
          <w:tab/>
        </w:r>
        <w:r w:rsidR="008B6061">
          <w:rPr>
            <w:noProof/>
            <w:webHidden/>
          </w:rPr>
          <w:fldChar w:fldCharType="begin"/>
        </w:r>
        <w:r w:rsidR="008B6061">
          <w:rPr>
            <w:noProof/>
            <w:webHidden/>
          </w:rPr>
          <w:instrText xml:space="preserve"> PAGEREF _Toc448251253 \h </w:instrText>
        </w:r>
        <w:r w:rsidR="008B6061">
          <w:rPr>
            <w:noProof/>
            <w:webHidden/>
          </w:rPr>
        </w:r>
        <w:r w:rsidR="008B6061">
          <w:rPr>
            <w:noProof/>
            <w:webHidden/>
          </w:rPr>
          <w:fldChar w:fldCharType="separate"/>
        </w:r>
        <w:r w:rsidR="00156D5A">
          <w:rPr>
            <w:noProof/>
            <w:webHidden/>
          </w:rPr>
          <w:t>139</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254" w:history="1">
        <w:r w:rsidR="008B6061" w:rsidRPr="0041705A">
          <w:rPr>
            <w:rStyle w:val="aa"/>
            <w:b/>
            <w:noProof/>
          </w:rPr>
          <w:t>9.1.4. Сведения о коммерческих организациях, в которых эмитент владеет не менее чем пятью процентами уставного капитала либо не менее чем пятью процентами обыкновенных акций</w:t>
        </w:r>
        <w:r w:rsidR="008B6061">
          <w:rPr>
            <w:noProof/>
            <w:webHidden/>
          </w:rPr>
          <w:tab/>
        </w:r>
        <w:r w:rsidR="008B6061">
          <w:rPr>
            <w:noProof/>
            <w:webHidden/>
          </w:rPr>
          <w:fldChar w:fldCharType="begin"/>
        </w:r>
        <w:r w:rsidR="008B6061">
          <w:rPr>
            <w:noProof/>
            <w:webHidden/>
          </w:rPr>
          <w:instrText xml:space="preserve"> PAGEREF _Toc448251254 \h </w:instrText>
        </w:r>
        <w:r w:rsidR="008B6061">
          <w:rPr>
            <w:noProof/>
            <w:webHidden/>
          </w:rPr>
        </w:r>
        <w:r w:rsidR="008B6061">
          <w:rPr>
            <w:noProof/>
            <w:webHidden/>
          </w:rPr>
          <w:fldChar w:fldCharType="separate"/>
        </w:r>
        <w:r w:rsidR="00156D5A">
          <w:rPr>
            <w:noProof/>
            <w:webHidden/>
          </w:rPr>
          <w:t>139</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255" w:history="1">
        <w:r w:rsidR="008B6061" w:rsidRPr="0041705A">
          <w:rPr>
            <w:rStyle w:val="aa"/>
            <w:b/>
            <w:noProof/>
          </w:rPr>
          <w:t>9.1.5. Сведения о существенных сделках, совершенных эмитентом</w:t>
        </w:r>
        <w:r w:rsidR="008B6061">
          <w:rPr>
            <w:noProof/>
            <w:webHidden/>
          </w:rPr>
          <w:tab/>
        </w:r>
        <w:r w:rsidR="008B6061">
          <w:rPr>
            <w:noProof/>
            <w:webHidden/>
          </w:rPr>
          <w:fldChar w:fldCharType="begin"/>
        </w:r>
        <w:r w:rsidR="008B6061">
          <w:rPr>
            <w:noProof/>
            <w:webHidden/>
          </w:rPr>
          <w:instrText xml:space="preserve"> PAGEREF _Toc448251255 \h </w:instrText>
        </w:r>
        <w:r w:rsidR="008B6061">
          <w:rPr>
            <w:noProof/>
            <w:webHidden/>
          </w:rPr>
        </w:r>
        <w:r w:rsidR="008B6061">
          <w:rPr>
            <w:noProof/>
            <w:webHidden/>
          </w:rPr>
          <w:fldChar w:fldCharType="separate"/>
        </w:r>
        <w:r w:rsidR="00156D5A">
          <w:rPr>
            <w:noProof/>
            <w:webHidden/>
          </w:rPr>
          <w:t>139</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256" w:history="1">
        <w:r w:rsidR="008B6061" w:rsidRPr="0041705A">
          <w:rPr>
            <w:rStyle w:val="aa"/>
            <w:b/>
            <w:noProof/>
          </w:rPr>
          <w:t>9.1.6. Сведения о кредитных рейтингах эмитента</w:t>
        </w:r>
        <w:r w:rsidR="008B6061">
          <w:rPr>
            <w:noProof/>
            <w:webHidden/>
          </w:rPr>
          <w:tab/>
        </w:r>
        <w:r w:rsidR="008B6061">
          <w:rPr>
            <w:noProof/>
            <w:webHidden/>
          </w:rPr>
          <w:fldChar w:fldCharType="begin"/>
        </w:r>
        <w:r w:rsidR="008B6061">
          <w:rPr>
            <w:noProof/>
            <w:webHidden/>
          </w:rPr>
          <w:instrText xml:space="preserve"> PAGEREF _Toc448251256 \h </w:instrText>
        </w:r>
        <w:r w:rsidR="008B6061">
          <w:rPr>
            <w:noProof/>
            <w:webHidden/>
          </w:rPr>
        </w:r>
        <w:r w:rsidR="008B6061">
          <w:rPr>
            <w:noProof/>
            <w:webHidden/>
          </w:rPr>
          <w:fldChar w:fldCharType="separate"/>
        </w:r>
        <w:r w:rsidR="00156D5A">
          <w:rPr>
            <w:noProof/>
            <w:webHidden/>
          </w:rPr>
          <w:t>139</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257" w:history="1">
        <w:r w:rsidR="008B6061" w:rsidRPr="0041705A">
          <w:rPr>
            <w:rStyle w:val="aa"/>
            <w:rFonts w:ascii="Arial" w:eastAsiaTheme="minorHAnsi" w:hAnsi="Arial" w:cs="Arial"/>
            <w:b/>
            <w:i/>
            <w:noProof/>
            <w:lang w:eastAsia="en-US"/>
          </w:rPr>
          <w:t>9.2. Сведения о каждой категории (типе) акций эмитента</w:t>
        </w:r>
        <w:r w:rsidR="008B6061">
          <w:rPr>
            <w:noProof/>
            <w:webHidden/>
          </w:rPr>
          <w:tab/>
        </w:r>
        <w:r w:rsidR="008B6061">
          <w:rPr>
            <w:noProof/>
            <w:webHidden/>
          </w:rPr>
          <w:fldChar w:fldCharType="begin"/>
        </w:r>
        <w:r w:rsidR="008B6061">
          <w:rPr>
            <w:noProof/>
            <w:webHidden/>
          </w:rPr>
          <w:instrText xml:space="preserve"> PAGEREF _Toc448251257 \h </w:instrText>
        </w:r>
        <w:r w:rsidR="008B6061">
          <w:rPr>
            <w:noProof/>
            <w:webHidden/>
          </w:rPr>
        </w:r>
        <w:r w:rsidR="008B6061">
          <w:rPr>
            <w:noProof/>
            <w:webHidden/>
          </w:rPr>
          <w:fldChar w:fldCharType="separate"/>
        </w:r>
        <w:r w:rsidR="00156D5A">
          <w:rPr>
            <w:noProof/>
            <w:webHidden/>
          </w:rPr>
          <w:t>139</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258" w:history="1">
        <w:r w:rsidR="008B6061" w:rsidRPr="0041705A">
          <w:rPr>
            <w:rStyle w:val="aa"/>
            <w:rFonts w:ascii="Arial" w:eastAsiaTheme="minorHAnsi" w:hAnsi="Arial" w:cs="Arial"/>
            <w:b/>
            <w:i/>
            <w:noProof/>
            <w:lang w:eastAsia="en-US"/>
          </w:rPr>
          <w:t>9.3. Сведения о предыдущих выпусках ценных бумаг эмитента, за исключением акций эмитента</w:t>
        </w:r>
        <w:r w:rsidR="008B6061">
          <w:rPr>
            <w:noProof/>
            <w:webHidden/>
          </w:rPr>
          <w:tab/>
        </w:r>
        <w:r w:rsidR="008B6061">
          <w:rPr>
            <w:noProof/>
            <w:webHidden/>
          </w:rPr>
          <w:fldChar w:fldCharType="begin"/>
        </w:r>
        <w:r w:rsidR="008B6061">
          <w:rPr>
            <w:noProof/>
            <w:webHidden/>
          </w:rPr>
          <w:instrText xml:space="preserve"> PAGEREF _Toc448251258 \h </w:instrText>
        </w:r>
        <w:r w:rsidR="008B6061">
          <w:rPr>
            <w:noProof/>
            <w:webHidden/>
          </w:rPr>
        </w:r>
        <w:r w:rsidR="008B6061">
          <w:rPr>
            <w:noProof/>
            <w:webHidden/>
          </w:rPr>
          <w:fldChar w:fldCharType="separate"/>
        </w:r>
        <w:r w:rsidR="00156D5A">
          <w:rPr>
            <w:noProof/>
            <w:webHidden/>
          </w:rPr>
          <w:t>139</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259" w:history="1">
        <w:r w:rsidR="008B6061" w:rsidRPr="0041705A">
          <w:rPr>
            <w:rStyle w:val="aa"/>
            <w:b/>
            <w:noProof/>
          </w:rPr>
          <w:t>9.3.1. Сведения о выпусках, все ценные бумаги которых погашены</w:t>
        </w:r>
        <w:r w:rsidR="008B6061">
          <w:rPr>
            <w:noProof/>
            <w:webHidden/>
          </w:rPr>
          <w:tab/>
        </w:r>
        <w:r w:rsidR="008B6061">
          <w:rPr>
            <w:noProof/>
            <w:webHidden/>
          </w:rPr>
          <w:fldChar w:fldCharType="begin"/>
        </w:r>
        <w:r w:rsidR="008B6061">
          <w:rPr>
            <w:noProof/>
            <w:webHidden/>
          </w:rPr>
          <w:instrText xml:space="preserve"> PAGEREF _Toc448251259 \h </w:instrText>
        </w:r>
        <w:r w:rsidR="008B6061">
          <w:rPr>
            <w:noProof/>
            <w:webHidden/>
          </w:rPr>
        </w:r>
        <w:r w:rsidR="008B6061">
          <w:rPr>
            <w:noProof/>
            <w:webHidden/>
          </w:rPr>
          <w:fldChar w:fldCharType="separate"/>
        </w:r>
        <w:r w:rsidR="00156D5A">
          <w:rPr>
            <w:noProof/>
            <w:webHidden/>
          </w:rPr>
          <w:t>139</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260" w:history="1">
        <w:r w:rsidR="008B6061" w:rsidRPr="0041705A">
          <w:rPr>
            <w:rStyle w:val="aa"/>
            <w:b/>
            <w:noProof/>
          </w:rPr>
          <w:t>9.3.2. Сведения о выпусках, ценные бумаги которых не являются погашенными</w:t>
        </w:r>
        <w:r w:rsidR="008B6061">
          <w:rPr>
            <w:noProof/>
            <w:webHidden/>
          </w:rPr>
          <w:tab/>
        </w:r>
        <w:r w:rsidR="008B6061">
          <w:rPr>
            <w:noProof/>
            <w:webHidden/>
          </w:rPr>
          <w:fldChar w:fldCharType="begin"/>
        </w:r>
        <w:r w:rsidR="008B6061">
          <w:rPr>
            <w:noProof/>
            <w:webHidden/>
          </w:rPr>
          <w:instrText xml:space="preserve"> PAGEREF _Toc448251260 \h </w:instrText>
        </w:r>
        <w:r w:rsidR="008B6061">
          <w:rPr>
            <w:noProof/>
            <w:webHidden/>
          </w:rPr>
        </w:r>
        <w:r w:rsidR="008B6061">
          <w:rPr>
            <w:noProof/>
            <w:webHidden/>
          </w:rPr>
          <w:fldChar w:fldCharType="separate"/>
        </w:r>
        <w:r w:rsidR="00156D5A">
          <w:rPr>
            <w:noProof/>
            <w:webHidden/>
          </w:rPr>
          <w:t>139</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261" w:history="1">
        <w:r w:rsidR="008B6061" w:rsidRPr="0041705A">
          <w:rPr>
            <w:rStyle w:val="aa"/>
            <w:rFonts w:ascii="Arial" w:eastAsiaTheme="minorHAnsi" w:hAnsi="Arial" w:cs="Arial"/>
            <w:b/>
            <w:i/>
            <w:noProof/>
            <w:lang w:eastAsia="en-US"/>
          </w:rPr>
          <w:t>9.4. Сведения о лице (лицах), предоставившем (предоставивших) обеспечение по облигациям эмитента с обеспечением, а также об обеспечении, предоставленном по облигациям эмитента с обеспечением</w:t>
        </w:r>
        <w:r w:rsidR="008B6061">
          <w:rPr>
            <w:noProof/>
            <w:webHidden/>
          </w:rPr>
          <w:tab/>
        </w:r>
        <w:r w:rsidR="008B6061">
          <w:rPr>
            <w:noProof/>
            <w:webHidden/>
          </w:rPr>
          <w:fldChar w:fldCharType="begin"/>
        </w:r>
        <w:r w:rsidR="008B6061">
          <w:rPr>
            <w:noProof/>
            <w:webHidden/>
          </w:rPr>
          <w:instrText xml:space="preserve"> PAGEREF _Toc448251261 \h </w:instrText>
        </w:r>
        <w:r w:rsidR="008B6061">
          <w:rPr>
            <w:noProof/>
            <w:webHidden/>
          </w:rPr>
        </w:r>
        <w:r w:rsidR="008B6061">
          <w:rPr>
            <w:noProof/>
            <w:webHidden/>
          </w:rPr>
          <w:fldChar w:fldCharType="separate"/>
        </w:r>
        <w:r w:rsidR="00156D5A">
          <w:rPr>
            <w:noProof/>
            <w:webHidden/>
          </w:rPr>
          <w:t>140</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262" w:history="1">
        <w:r w:rsidR="008B6061" w:rsidRPr="0041705A">
          <w:rPr>
            <w:rStyle w:val="aa"/>
            <w:b/>
            <w:noProof/>
          </w:rPr>
          <w:t>9.4.1. Дополнительные сведения об ипотечном покрытии по облигациям эмитента с ипотечным покрытием</w:t>
        </w:r>
        <w:r w:rsidR="008B6061">
          <w:rPr>
            <w:noProof/>
            <w:webHidden/>
          </w:rPr>
          <w:tab/>
        </w:r>
        <w:r w:rsidR="008B6061">
          <w:rPr>
            <w:noProof/>
            <w:webHidden/>
          </w:rPr>
          <w:fldChar w:fldCharType="begin"/>
        </w:r>
        <w:r w:rsidR="008B6061">
          <w:rPr>
            <w:noProof/>
            <w:webHidden/>
          </w:rPr>
          <w:instrText xml:space="preserve"> PAGEREF _Toc448251262 \h </w:instrText>
        </w:r>
        <w:r w:rsidR="008B6061">
          <w:rPr>
            <w:noProof/>
            <w:webHidden/>
          </w:rPr>
        </w:r>
        <w:r w:rsidR="008B6061">
          <w:rPr>
            <w:noProof/>
            <w:webHidden/>
          </w:rPr>
          <w:fldChar w:fldCharType="separate"/>
        </w:r>
        <w:r w:rsidR="00156D5A">
          <w:rPr>
            <w:noProof/>
            <w:webHidden/>
          </w:rPr>
          <w:t>140</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263" w:history="1">
        <w:r w:rsidR="008B6061" w:rsidRPr="0041705A">
          <w:rPr>
            <w:rStyle w:val="aa"/>
            <w:b/>
            <w:noProof/>
          </w:rPr>
          <w:t>9.4.2. Дополнительные сведения о залоговом обеспечении денежными требованиями по облигациям эмитента с залоговым обеспечением денежными требованиями</w:t>
        </w:r>
        <w:r w:rsidR="008B6061">
          <w:rPr>
            <w:noProof/>
            <w:webHidden/>
          </w:rPr>
          <w:tab/>
        </w:r>
        <w:r w:rsidR="008B6061">
          <w:rPr>
            <w:noProof/>
            <w:webHidden/>
          </w:rPr>
          <w:fldChar w:fldCharType="begin"/>
        </w:r>
        <w:r w:rsidR="008B6061">
          <w:rPr>
            <w:noProof/>
            <w:webHidden/>
          </w:rPr>
          <w:instrText xml:space="preserve"> PAGEREF _Toc448251263 \h </w:instrText>
        </w:r>
        <w:r w:rsidR="008B6061">
          <w:rPr>
            <w:noProof/>
            <w:webHidden/>
          </w:rPr>
        </w:r>
        <w:r w:rsidR="008B6061">
          <w:rPr>
            <w:noProof/>
            <w:webHidden/>
          </w:rPr>
          <w:fldChar w:fldCharType="separate"/>
        </w:r>
        <w:r w:rsidR="00156D5A">
          <w:rPr>
            <w:noProof/>
            <w:webHidden/>
          </w:rPr>
          <w:t>140</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264" w:history="1">
        <w:r w:rsidR="008B6061" w:rsidRPr="0041705A">
          <w:rPr>
            <w:rStyle w:val="aa"/>
            <w:rFonts w:ascii="Arial" w:eastAsiaTheme="minorHAnsi" w:hAnsi="Arial" w:cs="Arial"/>
            <w:b/>
            <w:i/>
            <w:noProof/>
            <w:lang w:eastAsia="en-US"/>
          </w:rPr>
          <w:t>9.5. Сведения об организациях, осуществляющих учет прав на эмиссионные ценные бумаги эмитента</w:t>
        </w:r>
        <w:r w:rsidR="008B6061">
          <w:rPr>
            <w:noProof/>
            <w:webHidden/>
          </w:rPr>
          <w:tab/>
        </w:r>
        <w:r w:rsidR="008B6061">
          <w:rPr>
            <w:noProof/>
            <w:webHidden/>
          </w:rPr>
          <w:fldChar w:fldCharType="begin"/>
        </w:r>
        <w:r w:rsidR="008B6061">
          <w:rPr>
            <w:noProof/>
            <w:webHidden/>
          </w:rPr>
          <w:instrText xml:space="preserve"> PAGEREF _Toc448251264 \h </w:instrText>
        </w:r>
        <w:r w:rsidR="008B6061">
          <w:rPr>
            <w:noProof/>
            <w:webHidden/>
          </w:rPr>
        </w:r>
        <w:r w:rsidR="008B6061">
          <w:rPr>
            <w:noProof/>
            <w:webHidden/>
          </w:rPr>
          <w:fldChar w:fldCharType="separate"/>
        </w:r>
        <w:r w:rsidR="00156D5A">
          <w:rPr>
            <w:noProof/>
            <w:webHidden/>
          </w:rPr>
          <w:t>140</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265" w:history="1">
        <w:r w:rsidR="008B6061" w:rsidRPr="0041705A">
          <w:rPr>
            <w:rStyle w:val="aa"/>
            <w:rFonts w:ascii="Arial" w:eastAsiaTheme="minorHAnsi" w:hAnsi="Arial" w:cs="Arial"/>
            <w:b/>
            <w:i/>
            <w:noProof/>
            <w:lang w:eastAsia="en-US"/>
          </w:rPr>
          <w:t>9.6. Сведения о законодательных актах, регулирующих вопросы импорта и экспорта капитала, которые могут повлиять на выплату дивидендов, процентов и других платежей нерезидентам</w:t>
        </w:r>
        <w:r w:rsidR="008B6061">
          <w:rPr>
            <w:noProof/>
            <w:webHidden/>
          </w:rPr>
          <w:tab/>
        </w:r>
        <w:r w:rsidR="008B6061">
          <w:rPr>
            <w:noProof/>
            <w:webHidden/>
          </w:rPr>
          <w:fldChar w:fldCharType="begin"/>
        </w:r>
        <w:r w:rsidR="008B6061">
          <w:rPr>
            <w:noProof/>
            <w:webHidden/>
          </w:rPr>
          <w:instrText xml:space="preserve"> PAGEREF _Toc448251265 \h </w:instrText>
        </w:r>
        <w:r w:rsidR="008B6061">
          <w:rPr>
            <w:noProof/>
            <w:webHidden/>
          </w:rPr>
        </w:r>
        <w:r w:rsidR="008B6061">
          <w:rPr>
            <w:noProof/>
            <w:webHidden/>
          </w:rPr>
          <w:fldChar w:fldCharType="separate"/>
        </w:r>
        <w:r w:rsidR="00156D5A">
          <w:rPr>
            <w:noProof/>
            <w:webHidden/>
          </w:rPr>
          <w:t>140</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266" w:history="1">
        <w:r w:rsidR="008B6061" w:rsidRPr="0041705A">
          <w:rPr>
            <w:rStyle w:val="aa"/>
            <w:rFonts w:ascii="Arial" w:eastAsiaTheme="minorHAnsi" w:hAnsi="Arial" w:cs="Arial"/>
            <w:b/>
            <w:i/>
            <w:noProof/>
            <w:lang w:eastAsia="en-US"/>
          </w:rPr>
          <w:t>9.7. Сведения об объявленных (начисленных) и о выплаченных дивидендах по акциям эмитента, а также о доходах по облигациям эмитента</w:t>
        </w:r>
        <w:r w:rsidR="008B6061">
          <w:rPr>
            <w:noProof/>
            <w:webHidden/>
          </w:rPr>
          <w:tab/>
        </w:r>
        <w:r w:rsidR="008B6061">
          <w:rPr>
            <w:noProof/>
            <w:webHidden/>
          </w:rPr>
          <w:fldChar w:fldCharType="begin"/>
        </w:r>
        <w:r w:rsidR="008B6061">
          <w:rPr>
            <w:noProof/>
            <w:webHidden/>
          </w:rPr>
          <w:instrText xml:space="preserve"> PAGEREF _Toc448251266 \h </w:instrText>
        </w:r>
        <w:r w:rsidR="008B6061">
          <w:rPr>
            <w:noProof/>
            <w:webHidden/>
          </w:rPr>
        </w:r>
        <w:r w:rsidR="008B6061">
          <w:rPr>
            <w:noProof/>
            <w:webHidden/>
          </w:rPr>
          <w:fldChar w:fldCharType="separate"/>
        </w:r>
        <w:r w:rsidR="00156D5A">
          <w:rPr>
            <w:noProof/>
            <w:webHidden/>
          </w:rPr>
          <w:t>140</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267" w:history="1">
        <w:r w:rsidR="008B6061" w:rsidRPr="0041705A">
          <w:rPr>
            <w:rStyle w:val="aa"/>
            <w:b/>
            <w:noProof/>
          </w:rPr>
          <w:t>9.7.1. Сведения об объявленных и о выплаченных дивидендах по акциям эмитента</w:t>
        </w:r>
        <w:r w:rsidR="008B6061">
          <w:rPr>
            <w:noProof/>
            <w:webHidden/>
          </w:rPr>
          <w:tab/>
        </w:r>
        <w:r w:rsidR="008B6061">
          <w:rPr>
            <w:noProof/>
            <w:webHidden/>
          </w:rPr>
          <w:fldChar w:fldCharType="begin"/>
        </w:r>
        <w:r w:rsidR="008B6061">
          <w:rPr>
            <w:noProof/>
            <w:webHidden/>
          </w:rPr>
          <w:instrText xml:space="preserve"> PAGEREF _Toc448251267 \h </w:instrText>
        </w:r>
        <w:r w:rsidR="008B6061">
          <w:rPr>
            <w:noProof/>
            <w:webHidden/>
          </w:rPr>
        </w:r>
        <w:r w:rsidR="008B6061">
          <w:rPr>
            <w:noProof/>
            <w:webHidden/>
          </w:rPr>
          <w:fldChar w:fldCharType="separate"/>
        </w:r>
        <w:r w:rsidR="00156D5A">
          <w:rPr>
            <w:noProof/>
            <w:webHidden/>
          </w:rPr>
          <w:t>140</w:t>
        </w:r>
        <w:r w:rsidR="008B6061">
          <w:rPr>
            <w:noProof/>
            <w:webHidden/>
          </w:rPr>
          <w:fldChar w:fldCharType="end"/>
        </w:r>
      </w:hyperlink>
    </w:p>
    <w:p w:rsidR="008B6061" w:rsidRDefault="00967F08">
      <w:pPr>
        <w:pStyle w:val="3"/>
        <w:tabs>
          <w:tab w:val="right" w:leader="dot" w:pos="9345"/>
        </w:tabs>
        <w:rPr>
          <w:rFonts w:eastAsiaTheme="minorEastAsia" w:cstheme="minorBidi"/>
          <w:i w:val="0"/>
          <w:iCs w:val="0"/>
          <w:noProof/>
          <w:sz w:val="22"/>
          <w:szCs w:val="22"/>
        </w:rPr>
      </w:pPr>
      <w:hyperlink w:anchor="_Toc448251268" w:history="1">
        <w:r w:rsidR="008B6061" w:rsidRPr="0041705A">
          <w:rPr>
            <w:rStyle w:val="aa"/>
            <w:b/>
            <w:noProof/>
          </w:rPr>
          <w:t>9.7.2. Сведения о начисленных и выплаченных доходах по облигациям эмитента</w:t>
        </w:r>
        <w:r w:rsidR="008B6061">
          <w:rPr>
            <w:noProof/>
            <w:webHidden/>
          </w:rPr>
          <w:tab/>
        </w:r>
        <w:r w:rsidR="008B6061">
          <w:rPr>
            <w:noProof/>
            <w:webHidden/>
          </w:rPr>
          <w:fldChar w:fldCharType="begin"/>
        </w:r>
        <w:r w:rsidR="008B6061">
          <w:rPr>
            <w:noProof/>
            <w:webHidden/>
          </w:rPr>
          <w:instrText xml:space="preserve"> PAGEREF _Toc448251268 \h </w:instrText>
        </w:r>
        <w:r w:rsidR="008B6061">
          <w:rPr>
            <w:noProof/>
            <w:webHidden/>
          </w:rPr>
        </w:r>
        <w:r w:rsidR="008B6061">
          <w:rPr>
            <w:noProof/>
            <w:webHidden/>
          </w:rPr>
          <w:fldChar w:fldCharType="separate"/>
        </w:r>
        <w:r w:rsidR="00156D5A">
          <w:rPr>
            <w:noProof/>
            <w:webHidden/>
          </w:rPr>
          <w:t>140</w:t>
        </w:r>
        <w:r w:rsidR="008B6061">
          <w:rPr>
            <w:noProof/>
            <w:webHidden/>
          </w:rPr>
          <w:fldChar w:fldCharType="end"/>
        </w:r>
      </w:hyperlink>
    </w:p>
    <w:p w:rsidR="008B6061" w:rsidRDefault="00967F08">
      <w:pPr>
        <w:pStyle w:val="21"/>
        <w:tabs>
          <w:tab w:val="right" w:leader="dot" w:pos="9345"/>
        </w:tabs>
        <w:rPr>
          <w:rFonts w:eastAsiaTheme="minorEastAsia" w:cstheme="minorBidi"/>
          <w:smallCaps w:val="0"/>
          <w:noProof/>
          <w:sz w:val="22"/>
          <w:szCs w:val="22"/>
        </w:rPr>
      </w:pPr>
      <w:hyperlink w:anchor="_Toc448251269" w:history="1">
        <w:r w:rsidR="008B6061" w:rsidRPr="0041705A">
          <w:rPr>
            <w:rStyle w:val="aa"/>
            <w:rFonts w:ascii="Arial" w:eastAsiaTheme="minorHAnsi" w:hAnsi="Arial" w:cs="Arial"/>
            <w:b/>
            <w:i/>
            <w:noProof/>
            <w:lang w:eastAsia="en-US"/>
          </w:rPr>
          <w:t>9.8. Иные сведения</w:t>
        </w:r>
        <w:r w:rsidR="008B6061">
          <w:rPr>
            <w:noProof/>
            <w:webHidden/>
          </w:rPr>
          <w:tab/>
        </w:r>
        <w:r w:rsidR="008B6061">
          <w:rPr>
            <w:noProof/>
            <w:webHidden/>
          </w:rPr>
          <w:fldChar w:fldCharType="begin"/>
        </w:r>
        <w:r w:rsidR="008B6061">
          <w:rPr>
            <w:noProof/>
            <w:webHidden/>
          </w:rPr>
          <w:instrText xml:space="preserve"> PAGEREF _Toc448251269 \h </w:instrText>
        </w:r>
        <w:r w:rsidR="008B6061">
          <w:rPr>
            <w:noProof/>
            <w:webHidden/>
          </w:rPr>
        </w:r>
        <w:r w:rsidR="008B6061">
          <w:rPr>
            <w:noProof/>
            <w:webHidden/>
          </w:rPr>
          <w:fldChar w:fldCharType="separate"/>
        </w:r>
        <w:r w:rsidR="00156D5A">
          <w:rPr>
            <w:noProof/>
            <w:webHidden/>
          </w:rPr>
          <w:t>141</w:t>
        </w:r>
        <w:r w:rsidR="008B6061">
          <w:rPr>
            <w:noProof/>
            <w:webHidden/>
          </w:rPr>
          <w:fldChar w:fldCharType="end"/>
        </w:r>
      </w:hyperlink>
    </w:p>
    <w:p w:rsidR="001465B0" w:rsidRDefault="00501E4F" w:rsidP="005E0AC2">
      <w:pPr>
        <w:pStyle w:val="ConsPlusNormal"/>
        <w:ind w:firstLine="540"/>
        <w:jc w:val="center"/>
        <w:outlineLvl w:val="0"/>
        <w:rPr>
          <w:rFonts w:ascii="Times New Roman" w:hAnsi="Times New Roman" w:cs="Times New Roman"/>
        </w:rPr>
      </w:pPr>
      <w:r>
        <w:rPr>
          <w:rFonts w:ascii="Times New Roman" w:eastAsia="Times New Roman" w:hAnsi="Times New Roman" w:cs="Times New Roman"/>
          <w:sz w:val="22"/>
          <w:szCs w:val="22"/>
          <w:u w:val="single"/>
          <w:lang w:eastAsia="ru-RU"/>
        </w:rPr>
        <w:fldChar w:fldCharType="end"/>
      </w:r>
    </w:p>
    <w:tbl>
      <w:tblPr>
        <w:tblStyle w:val="ae"/>
        <w:tblW w:w="9464" w:type="dxa"/>
        <w:tblLook w:val="04A0" w:firstRow="1" w:lastRow="0" w:firstColumn="1" w:lastColumn="0" w:noHBand="0" w:noVBand="1"/>
      </w:tblPr>
      <w:tblGrid>
        <w:gridCol w:w="8188"/>
        <w:gridCol w:w="1276"/>
      </w:tblGrid>
      <w:tr w:rsidR="001465B0" w:rsidTr="001465B0">
        <w:tc>
          <w:tcPr>
            <w:tcW w:w="8188" w:type="dxa"/>
          </w:tcPr>
          <w:p w:rsidR="001465B0" w:rsidRPr="001B68DF" w:rsidRDefault="001465B0" w:rsidP="008B6061">
            <w:pPr>
              <w:pStyle w:val="12"/>
              <w:rPr>
                <w:rStyle w:val="aa"/>
              </w:rPr>
            </w:pPr>
            <w:r w:rsidRPr="008B6061">
              <w:rPr>
                <w:rStyle w:val="aa"/>
                <w:color w:val="auto"/>
              </w:rPr>
              <w:t>Приложение № 1: Годовая бухгалтерская (финансовая) отчетность Эмитента за 2013, 2014, 2015 годы, составленная в соответствии с требованиями законодательства Российской Федерации, с приложенными аудиторскими заключениями</w:t>
            </w:r>
          </w:p>
        </w:tc>
        <w:tc>
          <w:tcPr>
            <w:tcW w:w="1276" w:type="dxa"/>
          </w:tcPr>
          <w:p w:rsidR="001465B0" w:rsidRDefault="009C69B6" w:rsidP="005E0AC2">
            <w:pPr>
              <w:pStyle w:val="ConsPlusNormal"/>
              <w:jc w:val="center"/>
              <w:outlineLvl w:val="0"/>
              <w:rPr>
                <w:rFonts w:ascii="Times New Roman" w:hAnsi="Times New Roman" w:cs="Times New Roman"/>
              </w:rPr>
            </w:pPr>
            <w:r>
              <w:rPr>
                <w:rFonts w:ascii="Times New Roman" w:hAnsi="Times New Roman" w:cs="Times New Roman"/>
              </w:rPr>
              <w:t>142</w:t>
            </w:r>
          </w:p>
        </w:tc>
      </w:tr>
      <w:tr w:rsidR="001465B0" w:rsidTr="001465B0">
        <w:tc>
          <w:tcPr>
            <w:tcW w:w="8188" w:type="dxa"/>
          </w:tcPr>
          <w:p w:rsidR="001465B0" w:rsidRPr="008B6061" w:rsidRDefault="001465B0" w:rsidP="008B6061">
            <w:pPr>
              <w:pStyle w:val="12"/>
              <w:rPr>
                <w:rStyle w:val="aa"/>
                <w:color w:val="auto"/>
              </w:rPr>
            </w:pPr>
            <w:r w:rsidRPr="008B6061">
              <w:rPr>
                <w:rStyle w:val="aa"/>
                <w:color w:val="auto"/>
              </w:rPr>
              <w:t>Приложение № 2: Годовая финансовая отчетность Эмитента за 2012 год, составленная в соответствии с Международными стандартами финансовой отчетности (МСФО).</w:t>
            </w:r>
          </w:p>
        </w:tc>
        <w:tc>
          <w:tcPr>
            <w:tcW w:w="1276" w:type="dxa"/>
          </w:tcPr>
          <w:p w:rsidR="001465B0" w:rsidRPr="00710039" w:rsidRDefault="00884F41" w:rsidP="005E0AC2">
            <w:pPr>
              <w:pStyle w:val="ConsPlusNormal"/>
              <w:jc w:val="center"/>
              <w:outlineLvl w:val="0"/>
              <w:rPr>
                <w:rFonts w:ascii="Times New Roman" w:hAnsi="Times New Roman" w:cs="Times New Roman"/>
                <w:highlight w:val="yellow"/>
              </w:rPr>
            </w:pPr>
            <w:r w:rsidRPr="00884F41">
              <w:rPr>
                <w:rFonts w:ascii="Times New Roman" w:hAnsi="Times New Roman" w:cs="Times New Roman"/>
              </w:rPr>
              <w:t>401</w:t>
            </w:r>
          </w:p>
        </w:tc>
      </w:tr>
      <w:tr w:rsidR="001465B0" w:rsidTr="001465B0">
        <w:tc>
          <w:tcPr>
            <w:tcW w:w="8188" w:type="dxa"/>
          </w:tcPr>
          <w:p w:rsidR="001465B0" w:rsidRPr="008B6061" w:rsidRDefault="001465B0" w:rsidP="008B6061">
            <w:pPr>
              <w:pStyle w:val="12"/>
              <w:rPr>
                <w:rStyle w:val="aa"/>
                <w:color w:val="auto"/>
              </w:rPr>
            </w:pPr>
            <w:r w:rsidRPr="008B6061">
              <w:rPr>
                <w:rStyle w:val="aa"/>
                <w:color w:val="auto"/>
              </w:rPr>
              <w:t>Приложение № 3: Годовая консолидированная финансовая отчетность, составленная в соответствии с Международными стандартами финансовой отчетности (МСФО) за 2012, 2013 и 2014 годы</w:t>
            </w:r>
          </w:p>
        </w:tc>
        <w:tc>
          <w:tcPr>
            <w:tcW w:w="1276" w:type="dxa"/>
          </w:tcPr>
          <w:p w:rsidR="001465B0" w:rsidRPr="00710039" w:rsidRDefault="00884F41" w:rsidP="005E0AC2">
            <w:pPr>
              <w:pStyle w:val="ConsPlusNormal"/>
              <w:jc w:val="center"/>
              <w:outlineLvl w:val="0"/>
              <w:rPr>
                <w:rFonts w:ascii="Times New Roman" w:hAnsi="Times New Roman" w:cs="Times New Roman"/>
                <w:highlight w:val="yellow"/>
              </w:rPr>
            </w:pPr>
            <w:r w:rsidRPr="00884F41">
              <w:rPr>
                <w:rFonts w:ascii="Times New Roman" w:hAnsi="Times New Roman" w:cs="Times New Roman"/>
              </w:rPr>
              <w:t>434</w:t>
            </w:r>
          </w:p>
        </w:tc>
      </w:tr>
      <w:tr w:rsidR="001465B0" w:rsidTr="001465B0">
        <w:tc>
          <w:tcPr>
            <w:tcW w:w="8188" w:type="dxa"/>
          </w:tcPr>
          <w:p w:rsidR="001465B0" w:rsidRPr="008B6061" w:rsidRDefault="001465B0" w:rsidP="008B6061">
            <w:pPr>
              <w:pStyle w:val="12"/>
              <w:rPr>
                <w:rStyle w:val="aa"/>
                <w:color w:val="auto"/>
              </w:rPr>
            </w:pPr>
            <w:r w:rsidRPr="008B6061">
              <w:rPr>
                <w:rStyle w:val="aa"/>
                <w:color w:val="auto"/>
              </w:rPr>
              <w:t>Приложение № 4: Основные положения учетной политики Эмитента, самостоятельно определенной Эмитентом в соответствии с законодательством Российской Федерации о бухгалтерском учете на 2013, 2014, 2015 годы</w:t>
            </w:r>
          </w:p>
        </w:tc>
        <w:tc>
          <w:tcPr>
            <w:tcW w:w="1276" w:type="dxa"/>
          </w:tcPr>
          <w:p w:rsidR="001465B0" w:rsidRPr="00710039" w:rsidRDefault="00884F41" w:rsidP="005E0AC2">
            <w:pPr>
              <w:pStyle w:val="ConsPlusNormal"/>
              <w:jc w:val="center"/>
              <w:outlineLvl w:val="0"/>
              <w:rPr>
                <w:rFonts w:ascii="Times New Roman" w:hAnsi="Times New Roman" w:cs="Times New Roman"/>
                <w:highlight w:val="yellow"/>
              </w:rPr>
            </w:pPr>
            <w:r w:rsidRPr="00884F41">
              <w:rPr>
                <w:rFonts w:ascii="Times New Roman" w:hAnsi="Times New Roman" w:cs="Times New Roman"/>
              </w:rPr>
              <w:t>575</w:t>
            </w:r>
          </w:p>
        </w:tc>
      </w:tr>
    </w:tbl>
    <w:p w:rsidR="00616EF7" w:rsidRDefault="00616EF7" w:rsidP="005E0AC2">
      <w:pPr>
        <w:pStyle w:val="ConsPlusNormal"/>
        <w:ind w:firstLine="540"/>
        <w:jc w:val="center"/>
        <w:outlineLvl w:val="0"/>
        <w:rPr>
          <w:rFonts w:ascii="Times New Roman" w:hAnsi="Times New Roman" w:cs="Times New Roman"/>
        </w:rPr>
      </w:pPr>
    </w:p>
    <w:p w:rsidR="002A1794" w:rsidRDefault="002A1794">
      <w:pPr>
        <w:widowControl/>
        <w:autoSpaceDE/>
        <w:autoSpaceDN/>
        <w:adjustRightInd/>
        <w:spacing w:before="0" w:after="200" w:line="276" w:lineRule="auto"/>
        <w:rPr>
          <w:rFonts w:eastAsiaTheme="minorHAnsi"/>
          <w:lang w:eastAsia="en-US"/>
        </w:rPr>
      </w:pPr>
      <w:r>
        <w:br w:type="page"/>
      </w:r>
    </w:p>
    <w:p w:rsidR="005E0AC2" w:rsidRPr="0084438E" w:rsidRDefault="005E0AC2" w:rsidP="00E36E49">
      <w:pPr>
        <w:pStyle w:val="ConsPlusNormal"/>
        <w:ind w:firstLine="540"/>
        <w:jc w:val="center"/>
        <w:outlineLvl w:val="0"/>
        <w:rPr>
          <w:b/>
          <w:sz w:val="32"/>
          <w:szCs w:val="32"/>
        </w:rPr>
      </w:pPr>
      <w:bookmarkStart w:id="4" w:name="_Toc448251111"/>
      <w:r w:rsidRPr="0084438E">
        <w:rPr>
          <w:b/>
          <w:sz w:val="32"/>
          <w:szCs w:val="32"/>
        </w:rPr>
        <w:t>Введение</w:t>
      </w:r>
      <w:bookmarkEnd w:id="4"/>
    </w:p>
    <w:p w:rsidR="005E0AC2" w:rsidRDefault="005E0AC2" w:rsidP="0084438E">
      <w:pPr>
        <w:pStyle w:val="ConsPlusNormal"/>
        <w:ind w:firstLine="540"/>
        <w:jc w:val="center"/>
        <w:rPr>
          <w:rFonts w:ascii="Times New Roman" w:hAnsi="Times New Roman" w:cs="Times New Roman"/>
        </w:rPr>
      </w:pPr>
    </w:p>
    <w:p w:rsidR="005E0AC2" w:rsidRDefault="005E0AC2" w:rsidP="00A0659A">
      <w:pPr>
        <w:pStyle w:val="ConsPlusNormal"/>
        <w:ind w:firstLine="540"/>
        <w:jc w:val="both"/>
        <w:rPr>
          <w:b/>
          <w:bCs/>
          <w:i/>
          <w:iCs/>
        </w:rPr>
      </w:pPr>
      <w:r>
        <w:rPr>
          <w:b/>
          <w:bCs/>
          <w:i/>
          <w:iCs/>
        </w:rPr>
        <w:t xml:space="preserve">Закрытое акционерное общество Специализированное Строительно-Монтажное Объединение «ЛенСпецСМУ» (далее по тексту настоящего Проспекта ценных бумаг </w:t>
      </w:r>
      <w:r w:rsidR="00F63EE2">
        <w:rPr>
          <w:b/>
          <w:bCs/>
          <w:i/>
          <w:iCs/>
        </w:rPr>
        <w:t xml:space="preserve">(Проспекта) </w:t>
      </w:r>
      <w:r>
        <w:rPr>
          <w:b/>
          <w:bCs/>
          <w:i/>
          <w:iCs/>
        </w:rPr>
        <w:t>- «Эмитент», ЗАО ССМО «ЛенСпецСМУ», «Общество», «Компания»).</w:t>
      </w:r>
    </w:p>
    <w:p w:rsidR="005E0AC2" w:rsidRDefault="005E0AC2" w:rsidP="00A0659A">
      <w:pPr>
        <w:pStyle w:val="ConsPlusNormal"/>
        <w:ind w:firstLine="540"/>
        <w:jc w:val="both"/>
        <w:rPr>
          <w:b/>
          <w:bCs/>
          <w:i/>
          <w:iCs/>
        </w:rPr>
      </w:pPr>
    </w:p>
    <w:p w:rsidR="005E0AC2" w:rsidRDefault="005E0AC2" w:rsidP="00A0659A">
      <w:pPr>
        <w:pStyle w:val="ConsPlusNormal"/>
        <w:ind w:firstLine="540"/>
        <w:jc w:val="both"/>
        <w:rPr>
          <w:rFonts w:ascii="Times New Roman" w:hAnsi="Times New Roman" w:cs="Times New Roman"/>
        </w:rPr>
      </w:pPr>
      <w:r>
        <w:rPr>
          <w:rFonts w:ascii="Times New Roman" w:hAnsi="Times New Roman" w:cs="Times New Roman"/>
        </w:rPr>
        <w:t xml:space="preserve">а) основные сведения об эмитенте: </w:t>
      </w:r>
    </w:p>
    <w:p w:rsidR="005E0AC2" w:rsidRDefault="005E0AC2" w:rsidP="00A0659A">
      <w:pPr>
        <w:pStyle w:val="ConsPlusNormal"/>
        <w:ind w:firstLine="540"/>
        <w:jc w:val="both"/>
        <w:rPr>
          <w:rFonts w:ascii="Times New Roman" w:hAnsi="Times New Roman" w:cs="Times New Roman"/>
        </w:rPr>
      </w:pPr>
      <w:r>
        <w:rPr>
          <w:rFonts w:ascii="Times New Roman" w:hAnsi="Times New Roman" w:cs="Times New Roman"/>
        </w:rPr>
        <w:t>полное фирменное наименование эмитента:</w:t>
      </w:r>
      <w:r>
        <w:rPr>
          <w:b/>
          <w:bCs/>
          <w:i/>
          <w:iCs/>
        </w:rPr>
        <w:t xml:space="preserve"> Закрытое акционерное общество Специализированное Строительно-Монтажное Объединение «ЛенСпецСМУ»;</w:t>
      </w:r>
    </w:p>
    <w:p w:rsidR="005E0AC2" w:rsidRDefault="005E0AC2" w:rsidP="00A0659A">
      <w:pPr>
        <w:pStyle w:val="ConsPlusNormal"/>
        <w:ind w:firstLine="540"/>
        <w:jc w:val="both"/>
        <w:rPr>
          <w:b/>
          <w:bCs/>
          <w:i/>
          <w:iCs/>
        </w:rPr>
      </w:pPr>
      <w:r>
        <w:rPr>
          <w:rFonts w:ascii="Times New Roman" w:hAnsi="Times New Roman" w:cs="Times New Roman"/>
        </w:rPr>
        <w:t xml:space="preserve">сокращенное фирменное наименование эмитента: </w:t>
      </w:r>
      <w:r>
        <w:rPr>
          <w:b/>
          <w:bCs/>
          <w:i/>
          <w:iCs/>
        </w:rPr>
        <w:t>ЗАО ССМО «ЛенСпецСМУ»;</w:t>
      </w:r>
    </w:p>
    <w:p w:rsidR="00C820A3" w:rsidRPr="00154DE7" w:rsidRDefault="00C820A3" w:rsidP="00C820A3">
      <w:pPr>
        <w:ind w:firstLine="540"/>
        <w:jc w:val="both"/>
        <w:rPr>
          <w:rFonts w:ascii="Arial" w:eastAsiaTheme="minorHAnsi" w:hAnsi="Arial" w:cs="Arial"/>
          <w:b/>
          <w:bCs/>
          <w:i/>
          <w:iCs/>
          <w:lang w:eastAsia="en-US"/>
        </w:rPr>
      </w:pPr>
      <w:r>
        <w:rPr>
          <w:rFonts w:eastAsiaTheme="minorHAnsi"/>
          <w:lang w:eastAsia="en-US"/>
        </w:rPr>
        <w:t xml:space="preserve">наименование эмитента </w:t>
      </w:r>
      <w:r w:rsidR="00AB205A">
        <w:rPr>
          <w:rFonts w:eastAsiaTheme="minorHAnsi"/>
          <w:lang w:eastAsia="en-US"/>
        </w:rPr>
        <w:t xml:space="preserve">на </w:t>
      </w:r>
      <w:r>
        <w:rPr>
          <w:rFonts w:eastAsiaTheme="minorHAnsi"/>
          <w:lang w:eastAsia="en-US"/>
        </w:rPr>
        <w:t xml:space="preserve">английском языке: </w:t>
      </w:r>
      <w:r w:rsidRPr="00154DE7">
        <w:rPr>
          <w:rFonts w:ascii="Arial" w:eastAsiaTheme="minorHAnsi" w:hAnsi="Arial" w:cs="Arial"/>
          <w:b/>
          <w:bCs/>
          <w:i/>
          <w:iCs/>
          <w:lang w:eastAsia="en-US"/>
        </w:rPr>
        <w:t>«LenSpetsSMU»</w:t>
      </w:r>
    </w:p>
    <w:p w:rsidR="005E0AC2" w:rsidRDefault="005E0AC2" w:rsidP="00A0659A">
      <w:pPr>
        <w:ind w:firstLine="540"/>
        <w:jc w:val="both"/>
        <w:rPr>
          <w:rFonts w:eastAsiaTheme="minorEastAsia"/>
          <w:b/>
          <w:i/>
        </w:rPr>
      </w:pPr>
      <w:r>
        <w:rPr>
          <w:rFonts w:eastAsiaTheme="minorHAnsi"/>
          <w:lang w:eastAsia="en-US"/>
        </w:rPr>
        <w:t>ИНН (если применимо):</w:t>
      </w:r>
      <w:r>
        <w:t xml:space="preserve"> </w:t>
      </w:r>
      <w:r>
        <w:rPr>
          <w:rFonts w:ascii="Arial" w:eastAsiaTheme="minorHAnsi" w:hAnsi="Arial" w:cs="Arial"/>
          <w:b/>
          <w:bCs/>
          <w:i/>
          <w:iCs/>
          <w:lang w:eastAsia="en-US"/>
        </w:rPr>
        <w:t>7802084569;</w:t>
      </w:r>
    </w:p>
    <w:p w:rsidR="005E0AC2" w:rsidRDefault="005E0AC2" w:rsidP="00A0659A">
      <w:pPr>
        <w:ind w:firstLine="540"/>
        <w:jc w:val="both"/>
        <w:rPr>
          <w:rFonts w:eastAsiaTheme="minorEastAsia"/>
        </w:rPr>
      </w:pPr>
      <w:r>
        <w:t xml:space="preserve">ОГРН (если применимо): </w:t>
      </w:r>
      <w:r>
        <w:rPr>
          <w:rFonts w:ascii="Arial" w:eastAsiaTheme="minorHAnsi" w:hAnsi="Arial" w:cs="Arial"/>
          <w:b/>
          <w:bCs/>
          <w:i/>
          <w:iCs/>
          <w:lang w:eastAsia="en-US"/>
        </w:rPr>
        <w:t>1027801544308;</w:t>
      </w:r>
    </w:p>
    <w:p w:rsidR="005E0AC2" w:rsidRDefault="005E0AC2" w:rsidP="00A0659A">
      <w:pPr>
        <w:ind w:firstLine="540"/>
        <w:jc w:val="both"/>
        <w:rPr>
          <w:rFonts w:eastAsiaTheme="minorEastAsia"/>
        </w:rPr>
      </w:pPr>
      <w:r>
        <w:t xml:space="preserve">место нахождения: </w:t>
      </w:r>
      <w:r>
        <w:rPr>
          <w:rFonts w:ascii="Arial" w:eastAsiaTheme="minorHAnsi" w:hAnsi="Arial" w:cs="Arial"/>
          <w:b/>
          <w:bCs/>
          <w:i/>
          <w:iCs/>
          <w:lang w:eastAsia="en-US"/>
        </w:rPr>
        <w:t>197348, Санкт-Петербург, Богатырский проспект, дом 2, литер А;</w:t>
      </w:r>
    </w:p>
    <w:p w:rsidR="005E0AC2" w:rsidRDefault="005E0AC2" w:rsidP="00A0659A">
      <w:pPr>
        <w:pStyle w:val="ConsPlusNormal"/>
        <w:ind w:firstLine="540"/>
        <w:jc w:val="both"/>
        <w:rPr>
          <w:rFonts w:ascii="Times New Roman" w:hAnsi="Times New Roman" w:cs="Times New Roman"/>
        </w:rPr>
      </w:pPr>
      <w:r>
        <w:rPr>
          <w:rFonts w:ascii="Times New Roman" w:hAnsi="Times New Roman" w:cs="Times New Roman"/>
        </w:rPr>
        <w:t xml:space="preserve">дата государственной регистрации: </w:t>
      </w:r>
      <w:r>
        <w:rPr>
          <w:b/>
          <w:bCs/>
          <w:i/>
          <w:iCs/>
        </w:rPr>
        <w:t>28.12.1995</w:t>
      </w:r>
    </w:p>
    <w:p w:rsidR="005E0AC2" w:rsidRDefault="005E0AC2" w:rsidP="00A0659A">
      <w:pPr>
        <w:pStyle w:val="ConsPlusNormal"/>
        <w:ind w:firstLine="540"/>
        <w:jc w:val="both"/>
        <w:rPr>
          <w:b/>
          <w:bCs/>
          <w:i/>
          <w:iCs/>
        </w:rPr>
      </w:pPr>
      <w:r>
        <w:rPr>
          <w:rFonts w:ascii="Times New Roman" w:hAnsi="Times New Roman" w:cs="Times New Roman"/>
        </w:rPr>
        <w:t xml:space="preserve">цели создания эмитента (при наличии): </w:t>
      </w:r>
      <w:r>
        <w:rPr>
          <w:b/>
          <w:bCs/>
          <w:i/>
          <w:iCs/>
        </w:rPr>
        <w:t>в соответствии с п. 3.1. Устава основной целью создания Общества является осуществление хозяйственной деятельности, направленной на удовлетворение общественных потребностей и получение прибыли;</w:t>
      </w:r>
    </w:p>
    <w:p w:rsidR="005E0AC2" w:rsidRDefault="005E0AC2" w:rsidP="00A0659A">
      <w:pPr>
        <w:pStyle w:val="ConsPlusNormal"/>
        <w:ind w:firstLine="540"/>
        <w:jc w:val="both"/>
        <w:rPr>
          <w:b/>
          <w:bCs/>
          <w:i/>
          <w:iCs/>
        </w:rPr>
      </w:pPr>
      <w:r>
        <w:rPr>
          <w:rFonts w:ascii="Times New Roman" w:hAnsi="Times New Roman" w:cs="Times New Roman"/>
        </w:rPr>
        <w:t xml:space="preserve">основные виды хозяйственной деятельности эмитента: </w:t>
      </w:r>
      <w:r>
        <w:rPr>
          <w:b/>
          <w:bCs/>
          <w:i/>
          <w:iCs/>
        </w:rPr>
        <w:t>в соответствии с п. 3.2. Устава Общество осуществляет следующие виды деятельности:</w:t>
      </w:r>
    </w:p>
    <w:p w:rsidR="005E0AC2" w:rsidRDefault="005E0AC2" w:rsidP="00557621">
      <w:pPr>
        <w:pStyle w:val="ConsPlusNormal"/>
        <w:numPr>
          <w:ilvl w:val="0"/>
          <w:numId w:val="1"/>
        </w:numPr>
        <w:ind w:left="0" w:firstLine="539"/>
        <w:jc w:val="both"/>
        <w:rPr>
          <w:b/>
          <w:bCs/>
          <w:i/>
          <w:iCs/>
        </w:rPr>
      </w:pPr>
      <w:r>
        <w:rPr>
          <w:b/>
          <w:bCs/>
          <w:i/>
          <w:iCs/>
        </w:rPr>
        <w:t>строительство зданий и сооружений, реконструкция и реставрация зданий и сооружений;</w:t>
      </w:r>
    </w:p>
    <w:p w:rsidR="005E0AC2" w:rsidRDefault="005E0AC2" w:rsidP="00557621">
      <w:pPr>
        <w:pStyle w:val="ConsPlusNormal"/>
        <w:numPr>
          <w:ilvl w:val="0"/>
          <w:numId w:val="1"/>
        </w:numPr>
        <w:ind w:left="0" w:firstLine="539"/>
        <w:jc w:val="both"/>
        <w:rPr>
          <w:b/>
          <w:bCs/>
          <w:i/>
          <w:iCs/>
        </w:rPr>
      </w:pPr>
      <w:r>
        <w:rPr>
          <w:b/>
          <w:bCs/>
          <w:i/>
          <w:iCs/>
        </w:rPr>
        <w:t>проектирование зданий и сооружений;</w:t>
      </w:r>
    </w:p>
    <w:p w:rsidR="005E0AC2" w:rsidRDefault="005E0AC2" w:rsidP="00557621">
      <w:pPr>
        <w:pStyle w:val="ConsPlusNormal"/>
        <w:numPr>
          <w:ilvl w:val="0"/>
          <w:numId w:val="1"/>
        </w:numPr>
        <w:ind w:left="0" w:firstLine="539"/>
        <w:jc w:val="both"/>
        <w:rPr>
          <w:b/>
          <w:bCs/>
          <w:i/>
          <w:iCs/>
        </w:rPr>
      </w:pPr>
      <w:r>
        <w:rPr>
          <w:b/>
          <w:bCs/>
          <w:i/>
          <w:iCs/>
        </w:rPr>
        <w:t xml:space="preserve">выполнение функций </w:t>
      </w:r>
      <w:r w:rsidR="00E7746C">
        <w:rPr>
          <w:b/>
          <w:bCs/>
          <w:i/>
          <w:iCs/>
        </w:rPr>
        <w:t>3аказчика</w:t>
      </w:r>
      <w:r>
        <w:rPr>
          <w:b/>
          <w:bCs/>
          <w:i/>
          <w:iCs/>
        </w:rPr>
        <w:t>;</w:t>
      </w:r>
    </w:p>
    <w:p w:rsidR="005E0AC2" w:rsidRDefault="005E0AC2" w:rsidP="00557621">
      <w:pPr>
        <w:pStyle w:val="ConsPlusNormal"/>
        <w:numPr>
          <w:ilvl w:val="0"/>
          <w:numId w:val="1"/>
        </w:numPr>
        <w:ind w:left="0" w:firstLine="539"/>
        <w:jc w:val="both"/>
        <w:rPr>
          <w:b/>
          <w:bCs/>
          <w:i/>
          <w:iCs/>
        </w:rPr>
      </w:pPr>
      <w:r>
        <w:rPr>
          <w:b/>
          <w:bCs/>
          <w:i/>
          <w:iCs/>
        </w:rPr>
        <w:t>реализация инвестиционно-строительных проектов;</w:t>
      </w:r>
    </w:p>
    <w:p w:rsidR="005E0AC2" w:rsidRDefault="005E0AC2" w:rsidP="00557621">
      <w:pPr>
        <w:pStyle w:val="ConsPlusNormal"/>
        <w:numPr>
          <w:ilvl w:val="0"/>
          <w:numId w:val="1"/>
        </w:numPr>
        <w:ind w:left="0" w:firstLine="539"/>
        <w:jc w:val="both"/>
        <w:rPr>
          <w:b/>
          <w:bCs/>
          <w:i/>
          <w:iCs/>
        </w:rPr>
      </w:pPr>
      <w:r>
        <w:rPr>
          <w:b/>
          <w:bCs/>
          <w:i/>
          <w:iCs/>
        </w:rPr>
        <w:t>научно-исследовательские и опытно-конструкторские работы, проведение научных исследований в области строительства;</w:t>
      </w:r>
    </w:p>
    <w:p w:rsidR="005E0AC2" w:rsidRPr="00AB205A" w:rsidRDefault="005E0AC2" w:rsidP="00AB205A">
      <w:pPr>
        <w:pStyle w:val="ConsPlusNormal"/>
        <w:numPr>
          <w:ilvl w:val="0"/>
          <w:numId w:val="1"/>
        </w:numPr>
        <w:ind w:left="0" w:firstLine="539"/>
        <w:jc w:val="both"/>
        <w:rPr>
          <w:b/>
          <w:bCs/>
          <w:i/>
          <w:iCs/>
        </w:rPr>
      </w:pPr>
      <w:r w:rsidRPr="00AB205A">
        <w:rPr>
          <w:b/>
          <w:bCs/>
          <w:i/>
          <w:iCs/>
        </w:rPr>
        <w:t>операции с недвижимостью (включая реализацию недвижимости посредством заключения предварительных и основных договоров купли-продажи и договоров долевого участия в строительстве),</w:t>
      </w:r>
      <w:r w:rsidR="00AB205A">
        <w:rPr>
          <w:b/>
          <w:bCs/>
          <w:i/>
          <w:iCs/>
        </w:rPr>
        <w:t xml:space="preserve"> </w:t>
      </w:r>
      <w:r w:rsidRPr="00AB205A">
        <w:rPr>
          <w:b/>
          <w:bCs/>
          <w:i/>
          <w:iCs/>
        </w:rPr>
        <w:t>риэлтерская деятельность;</w:t>
      </w:r>
    </w:p>
    <w:p w:rsidR="005E0AC2" w:rsidRDefault="005E0AC2" w:rsidP="00557621">
      <w:pPr>
        <w:pStyle w:val="ConsPlusNormal"/>
        <w:numPr>
          <w:ilvl w:val="0"/>
          <w:numId w:val="1"/>
        </w:numPr>
        <w:ind w:left="0" w:firstLine="539"/>
        <w:jc w:val="both"/>
        <w:rPr>
          <w:b/>
          <w:bCs/>
          <w:i/>
          <w:iCs/>
        </w:rPr>
      </w:pPr>
      <w:r>
        <w:rPr>
          <w:b/>
          <w:bCs/>
          <w:i/>
          <w:iCs/>
        </w:rPr>
        <w:t>производство отдельных видов строительных материалов, конструкций, изделий;</w:t>
      </w:r>
    </w:p>
    <w:p w:rsidR="00E7746C" w:rsidRDefault="00E7746C" w:rsidP="00E7746C">
      <w:pPr>
        <w:pStyle w:val="ConsPlusNormal"/>
        <w:numPr>
          <w:ilvl w:val="0"/>
          <w:numId w:val="1"/>
        </w:numPr>
        <w:ind w:left="0" w:firstLine="539"/>
        <w:jc w:val="both"/>
        <w:rPr>
          <w:b/>
          <w:bCs/>
          <w:i/>
          <w:iCs/>
        </w:rPr>
      </w:pPr>
      <w:r>
        <w:rPr>
          <w:b/>
          <w:bCs/>
          <w:i/>
          <w:iCs/>
        </w:rPr>
        <w:t>эксплуатация и техническое обслуживание жилых и нежилых зданий и сооружений;</w:t>
      </w:r>
    </w:p>
    <w:p w:rsidR="00E7746C" w:rsidRDefault="00E7746C" w:rsidP="00E7746C">
      <w:pPr>
        <w:pStyle w:val="ConsPlusNormal"/>
        <w:numPr>
          <w:ilvl w:val="0"/>
          <w:numId w:val="1"/>
        </w:numPr>
        <w:ind w:left="0" w:firstLine="539"/>
        <w:jc w:val="both"/>
        <w:rPr>
          <w:b/>
          <w:bCs/>
          <w:i/>
          <w:iCs/>
        </w:rPr>
      </w:pPr>
      <w:r>
        <w:rPr>
          <w:b/>
          <w:bCs/>
          <w:i/>
          <w:iCs/>
        </w:rPr>
        <w:t xml:space="preserve">маркетинговые исследования </w:t>
      </w:r>
      <w:r w:rsidR="00AB205A">
        <w:rPr>
          <w:b/>
          <w:bCs/>
          <w:i/>
          <w:iCs/>
        </w:rPr>
        <w:t xml:space="preserve">рынка </w:t>
      </w:r>
      <w:r>
        <w:rPr>
          <w:b/>
          <w:bCs/>
          <w:i/>
          <w:iCs/>
        </w:rPr>
        <w:t>недвижимости;</w:t>
      </w:r>
    </w:p>
    <w:p w:rsidR="005E0AC2" w:rsidRDefault="005E0AC2" w:rsidP="00557621">
      <w:pPr>
        <w:pStyle w:val="ConsPlusNormal"/>
        <w:numPr>
          <w:ilvl w:val="0"/>
          <w:numId w:val="1"/>
        </w:numPr>
        <w:ind w:left="0" w:firstLine="539"/>
        <w:jc w:val="both"/>
        <w:rPr>
          <w:b/>
          <w:bCs/>
          <w:i/>
          <w:iCs/>
        </w:rPr>
      </w:pPr>
      <w:r>
        <w:rPr>
          <w:b/>
          <w:bCs/>
          <w:i/>
          <w:iCs/>
        </w:rPr>
        <w:t>проектирование и эксплуатация подъемных сооружений;</w:t>
      </w:r>
    </w:p>
    <w:p w:rsidR="005E0AC2" w:rsidRDefault="005E0AC2" w:rsidP="00557621">
      <w:pPr>
        <w:pStyle w:val="ConsPlusNormal"/>
        <w:numPr>
          <w:ilvl w:val="0"/>
          <w:numId w:val="1"/>
        </w:numPr>
        <w:ind w:left="0" w:firstLine="539"/>
        <w:jc w:val="both"/>
        <w:rPr>
          <w:b/>
          <w:bCs/>
          <w:i/>
          <w:iCs/>
        </w:rPr>
      </w:pPr>
      <w:r>
        <w:rPr>
          <w:b/>
          <w:bCs/>
          <w:i/>
          <w:iCs/>
        </w:rPr>
        <w:t>перевозка грузов;</w:t>
      </w:r>
    </w:p>
    <w:p w:rsidR="005E0AC2" w:rsidRDefault="005E0AC2" w:rsidP="00557621">
      <w:pPr>
        <w:pStyle w:val="ConsPlusNormal"/>
        <w:numPr>
          <w:ilvl w:val="0"/>
          <w:numId w:val="1"/>
        </w:numPr>
        <w:ind w:left="0" w:firstLine="539"/>
        <w:jc w:val="both"/>
        <w:rPr>
          <w:b/>
          <w:bCs/>
          <w:i/>
          <w:iCs/>
        </w:rPr>
      </w:pPr>
      <w:r>
        <w:rPr>
          <w:b/>
          <w:bCs/>
          <w:i/>
          <w:iCs/>
        </w:rPr>
        <w:t>рекламная деятельность;</w:t>
      </w:r>
    </w:p>
    <w:p w:rsidR="005E0AC2" w:rsidRDefault="005E0AC2" w:rsidP="00557621">
      <w:pPr>
        <w:pStyle w:val="ConsPlusNormal"/>
        <w:numPr>
          <w:ilvl w:val="0"/>
          <w:numId w:val="1"/>
        </w:numPr>
        <w:ind w:left="0" w:firstLine="539"/>
        <w:jc w:val="both"/>
        <w:rPr>
          <w:b/>
          <w:bCs/>
          <w:i/>
          <w:iCs/>
        </w:rPr>
      </w:pPr>
      <w:r>
        <w:rPr>
          <w:b/>
          <w:bCs/>
          <w:i/>
          <w:iCs/>
        </w:rPr>
        <w:t>внешнеэкономическая деятельность;</w:t>
      </w:r>
    </w:p>
    <w:p w:rsidR="005E0AC2" w:rsidRDefault="005E0AC2" w:rsidP="00557621">
      <w:pPr>
        <w:pStyle w:val="ConsPlusNormal"/>
        <w:numPr>
          <w:ilvl w:val="0"/>
          <w:numId w:val="1"/>
        </w:numPr>
        <w:ind w:left="0" w:firstLine="539"/>
        <w:jc w:val="both"/>
        <w:rPr>
          <w:b/>
          <w:bCs/>
          <w:i/>
          <w:iCs/>
        </w:rPr>
      </w:pPr>
      <w:r>
        <w:rPr>
          <w:b/>
          <w:bCs/>
          <w:i/>
          <w:iCs/>
        </w:rPr>
        <w:t>иные виды деятельности, не запрещенные действующим законодательством.</w:t>
      </w:r>
    </w:p>
    <w:p w:rsidR="005E0AC2" w:rsidRDefault="005E0AC2" w:rsidP="005E0AC2">
      <w:pPr>
        <w:pStyle w:val="ConsPlusNormal"/>
        <w:ind w:firstLine="540"/>
        <w:jc w:val="both"/>
        <w:rPr>
          <w:rFonts w:ascii="Times New Roman" w:hAnsi="Times New Roman" w:cs="Times New Roman"/>
        </w:rPr>
      </w:pPr>
    </w:p>
    <w:p w:rsidR="005E0AC2" w:rsidRDefault="005E0AC2" w:rsidP="005E0AC2">
      <w:pPr>
        <w:pStyle w:val="ConsPlusNormal"/>
        <w:ind w:firstLine="540"/>
        <w:jc w:val="both"/>
        <w:rPr>
          <w:rFonts w:ascii="Times New Roman" w:hAnsi="Times New Roman" w:cs="Times New Roman"/>
        </w:rPr>
      </w:pPr>
      <w:r>
        <w:rPr>
          <w:rFonts w:ascii="Times New Roman" w:hAnsi="Times New Roman" w:cs="Times New Roman"/>
        </w:rPr>
        <w:t>б) основные сведения о размещаемых эмитентом ценных бумагах, в отношении которых осуществляется регистрация проспекта: вид, категория (тип), серия (для облигаций) и иные идентификационные признаки ценных бумаг, количество размещаемых ценных бумаг, номинальная стоимость (в случае если наличие номинальной стоимости предусмотрено законодательством Российской Федерации), порядок и сроки размещения (дата начала, дата окончания размещения или порядок их определения), цена размещения или порядок ее определения, условия обеспечения (для облигаций с обеспечением), условия конвертации (для конвертируемых ценных бумаг):</w:t>
      </w:r>
    </w:p>
    <w:p w:rsidR="00622F8D" w:rsidRPr="00622F8D" w:rsidRDefault="00622F8D" w:rsidP="00622F8D">
      <w:pPr>
        <w:pStyle w:val="ConsPlusNormal"/>
        <w:ind w:firstLine="540"/>
        <w:jc w:val="both"/>
        <w:rPr>
          <w:b/>
          <w:bCs/>
          <w:i/>
          <w:iCs/>
        </w:rPr>
      </w:pPr>
      <w:r>
        <w:rPr>
          <w:b/>
          <w:bCs/>
          <w:i/>
          <w:iCs/>
        </w:rPr>
        <w:t>П</w:t>
      </w:r>
      <w:r w:rsidRPr="00622F8D">
        <w:rPr>
          <w:b/>
          <w:bCs/>
          <w:i/>
          <w:iCs/>
        </w:rPr>
        <w:t xml:space="preserve">рограмма биржевых облигаций серии 001Р, первая часть решения о выпуске ценных бумаг, содержащая определяемые общим образом права владельцев биржевых облигаций и иные общие условия для одного или нескольких выпусков биржевых облигаций, далее по тексту именуется «Программа», «Программа биржевых облигаций». </w:t>
      </w:r>
    </w:p>
    <w:p w:rsidR="00622F8D" w:rsidRPr="00622F8D" w:rsidRDefault="00622F8D" w:rsidP="00622F8D">
      <w:pPr>
        <w:pStyle w:val="ConsPlusNormal"/>
        <w:ind w:firstLine="540"/>
        <w:jc w:val="both"/>
        <w:rPr>
          <w:b/>
          <w:bCs/>
          <w:i/>
          <w:iCs/>
        </w:rPr>
      </w:pPr>
      <w:r w:rsidRPr="00622F8D">
        <w:rPr>
          <w:b/>
          <w:bCs/>
          <w:i/>
          <w:iCs/>
        </w:rPr>
        <w:t xml:space="preserve">Условия выпуска биржевых облигаций в рамках программы биржевых облигаций, вторая часть решения о выпуске ценных бумаг, содержащая конкретные условия отдельного выпуска биржевых облигаций, далее по тексту именуется «Условия выпуска», «Условия отдельного выпуска». </w:t>
      </w:r>
    </w:p>
    <w:p w:rsidR="00622F8D" w:rsidRPr="00622F8D" w:rsidRDefault="00622F8D" w:rsidP="00622F8D">
      <w:pPr>
        <w:pStyle w:val="ConsPlusNormal"/>
        <w:ind w:firstLine="540"/>
        <w:jc w:val="both"/>
        <w:rPr>
          <w:b/>
          <w:bCs/>
          <w:i/>
          <w:iCs/>
        </w:rPr>
      </w:pPr>
      <w:r w:rsidRPr="00622F8D">
        <w:rPr>
          <w:b/>
          <w:bCs/>
          <w:i/>
          <w:iCs/>
        </w:rPr>
        <w:t xml:space="preserve">Биржевые облигации размещаются в рамках Программы биржевых облигаций одним или несколькими выпусками, которые далее по тексту именуются «отдельный выпуск», «отдельные выпуски». </w:t>
      </w:r>
    </w:p>
    <w:p w:rsidR="00845043" w:rsidRDefault="00845043" w:rsidP="008B13EE">
      <w:pPr>
        <w:pStyle w:val="Default"/>
        <w:jc w:val="both"/>
        <w:rPr>
          <w:sz w:val="20"/>
          <w:szCs w:val="20"/>
        </w:rPr>
      </w:pPr>
    </w:p>
    <w:p w:rsidR="008B13EE" w:rsidRPr="008B13EE" w:rsidRDefault="005E0AC2" w:rsidP="00845043">
      <w:pPr>
        <w:pStyle w:val="Default"/>
        <w:ind w:firstLine="567"/>
        <w:jc w:val="both"/>
        <w:rPr>
          <w:rFonts w:ascii="Arial" w:hAnsi="Arial" w:cs="Arial"/>
          <w:sz w:val="20"/>
          <w:szCs w:val="20"/>
        </w:rPr>
      </w:pPr>
      <w:r w:rsidRPr="00845043">
        <w:rPr>
          <w:sz w:val="20"/>
          <w:szCs w:val="20"/>
        </w:rPr>
        <w:t>Вид ценных бумаг, категория (тип), иные идентификационные признаки размещаемых ценных бумаг:</w:t>
      </w:r>
      <w:r>
        <w:rPr>
          <w:b/>
          <w:bCs/>
          <w:i/>
          <w:iCs/>
        </w:rPr>
        <w:t xml:space="preserve"> </w:t>
      </w:r>
      <w:r w:rsidR="008B13EE" w:rsidRPr="008B13EE">
        <w:rPr>
          <w:rFonts w:ascii="Arial" w:hAnsi="Arial" w:cs="Arial"/>
          <w:b/>
          <w:bCs/>
          <w:i/>
          <w:iCs/>
          <w:sz w:val="20"/>
          <w:szCs w:val="20"/>
        </w:rPr>
        <w:t xml:space="preserve">неконвертируемые процентные документарные биржевые облигации на предъявителя с обязательным централизованным хранением, размещаемые в рамках Программы биржевых облигаций (далее – «Биржевые облигации, размещаемые в рамках Программы биржевых облигаций» или «Биржевые облигации»). </w:t>
      </w:r>
    </w:p>
    <w:p w:rsidR="00845043" w:rsidRDefault="00845043" w:rsidP="005E0AC2">
      <w:pPr>
        <w:pStyle w:val="ConsPlusNormal"/>
        <w:ind w:firstLine="540"/>
        <w:jc w:val="both"/>
        <w:rPr>
          <w:rFonts w:ascii="Times New Roman" w:hAnsi="Times New Roman" w:cs="Times New Roman"/>
        </w:rPr>
      </w:pPr>
    </w:p>
    <w:p w:rsidR="008B13EE" w:rsidRPr="009C69B6" w:rsidRDefault="005E0AC2" w:rsidP="005E0AC2">
      <w:pPr>
        <w:pStyle w:val="ConsPlusNormal"/>
        <w:ind w:firstLine="540"/>
        <w:jc w:val="both"/>
        <w:rPr>
          <w:b/>
          <w:bCs/>
          <w:i/>
          <w:iCs/>
          <w:sz w:val="22"/>
          <w:szCs w:val="22"/>
          <w:u w:val="single"/>
        </w:rPr>
      </w:pPr>
      <w:r>
        <w:rPr>
          <w:rFonts w:ascii="Times New Roman" w:hAnsi="Times New Roman" w:cs="Times New Roman"/>
        </w:rPr>
        <w:t>Серия:</w:t>
      </w:r>
      <w:r>
        <w:rPr>
          <w:b/>
          <w:bCs/>
          <w:i/>
          <w:iCs/>
        </w:rPr>
        <w:t xml:space="preserve"> </w:t>
      </w:r>
      <w:r w:rsidR="008B13EE" w:rsidRPr="008B13EE">
        <w:rPr>
          <w:b/>
          <w:bCs/>
          <w:i/>
          <w:iCs/>
          <w:u w:val="single"/>
        </w:rPr>
        <w:t>Серия каждого отдельного выпуска Биржевых облигаций указывается в Условиях выпуска.</w:t>
      </w:r>
      <w:r w:rsidR="008B13EE" w:rsidRPr="00C22F02">
        <w:rPr>
          <w:b/>
          <w:bCs/>
          <w:i/>
          <w:iCs/>
          <w:sz w:val="22"/>
          <w:szCs w:val="22"/>
          <w:u w:val="single"/>
        </w:rPr>
        <w:t xml:space="preserve"> </w:t>
      </w:r>
    </w:p>
    <w:p w:rsidR="008B13EE" w:rsidRPr="008B13EE" w:rsidRDefault="005E0AC2" w:rsidP="008B13EE">
      <w:pPr>
        <w:pStyle w:val="Default"/>
        <w:ind w:firstLine="567"/>
        <w:jc w:val="both"/>
        <w:rPr>
          <w:rFonts w:ascii="Arial" w:hAnsi="Arial" w:cs="Arial"/>
          <w:b/>
          <w:bCs/>
          <w:i/>
          <w:iCs/>
          <w:sz w:val="20"/>
          <w:szCs w:val="20"/>
        </w:rPr>
      </w:pPr>
      <w:r w:rsidRPr="008B13EE">
        <w:rPr>
          <w:sz w:val="20"/>
          <w:szCs w:val="20"/>
        </w:rPr>
        <w:t>Количество размещаемых ценных бумаг:</w:t>
      </w:r>
      <w:r>
        <w:rPr>
          <w:b/>
          <w:bCs/>
          <w:i/>
          <w:iCs/>
        </w:rPr>
        <w:t xml:space="preserve"> </w:t>
      </w:r>
      <w:r w:rsidR="008B13EE" w:rsidRPr="008B13EE">
        <w:rPr>
          <w:rFonts w:ascii="Arial" w:hAnsi="Arial" w:cs="Arial"/>
          <w:b/>
          <w:bCs/>
          <w:i/>
          <w:iCs/>
          <w:sz w:val="20"/>
          <w:szCs w:val="20"/>
        </w:rPr>
        <w:t>Минимальное и (или) максимальное количество Биржевых облигаций отдельного выпуска в условиях Программы биржевых облигаций не определяется.</w:t>
      </w:r>
    </w:p>
    <w:p w:rsidR="008B13EE" w:rsidRPr="008B13EE" w:rsidRDefault="008B13EE" w:rsidP="008B13EE">
      <w:pPr>
        <w:pStyle w:val="Default"/>
        <w:ind w:firstLine="567"/>
        <w:jc w:val="both"/>
        <w:rPr>
          <w:rFonts w:ascii="Arial" w:hAnsi="Arial" w:cs="Arial"/>
          <w:b/>
          <w:bCs/>
          <w:i/>
          <w:iCs/>
          <w:sz w:val="20"/>
          <w:szCs w:val="20"/>
        </w:rPr>
      </w:pPr>
    </w:p>
    <w:p w:rsidR="008B13EE" w:rsidRPr="008B13EE" w:rsidRDefault="008B13EE" w:rsidP="008B13EE">
      <w:pPr>
        <w:pStyle w:val="Default"/>
        <w:ind w:firstLine="567"/>
        <w:jc w:val="both"/>
        <w:rPr>
          <w:rFonts w:ascii="Arial" w:hAnsi="Arial" w:cs="Arial"/>
          <w:sz w:val="20"/>
          <w:szCs w:val="20"/>
        </w:rPr>
      </w:pPr>
      <w:r w:rsidRPr="008B13EE">
        <w:rPr>
          <w:rFonts w:ascii="Arial" w:hAnsi="Arial" w:cs="Arial"/>
          <w:b/>
          <w:bCs/>
          <w:i/>
          <w:iCs/>
          <w:sz w:val="20"/>
          <w:szCs w:val="20"/>
          <w:u w:val="single"/>
        </w:rPr>
        <w:t>Количество Биржевых облигаций выпуска, размещаемых в рамках Программы биржевых облигаций, будет установлено в соответствующих Условиях выпуска</w:t>
      </w:r>
      <w:r w:rsidRPr="008B13EE">
        <w:rPr>
          <w:rFonts w:ascii="Arial" w:hAnsi="Arial" w:cs="Arial"/>
          <w:b/>
          <w:bCs/>
          <w:i/>
          <w:iCs/>
          <w:sz w:val="20"/>
          <w:szCs w:val="20"/>
        </w:rPr>
        <w:t xml:space="preserve">. </w:t>
      </w:r>
    </w:p>
    <w:p w:rsidR="008B13EE" w:rsidRPr="009C69B6" w:rsidRDefault="008B13EE" w:rsidP="00BA2EFE">
      <w:pPr>
        <w:pStyle w:val="ConsPlusNormal"/>
        <w:ind w:firstLine="540"/>
        <w:jc w:val="both"/>
        <w:rPr>
          <w:rFonts w:ascii="Times New Roman" w:hAnsi="Times New Roman" w:cs="Times New Roman"/>
        </w:rPr>
      </w:pPr>
    </w:p>
    <w:p w:rsidR="008B13EE" w:rsidRPr="008B13EE" w:rsidRDefault="005E0AC2" w:rsidP="008B13EE">
      <w:pPr>
        <w:pStyle w:val="ConsPlusNormal"/>
        <w:ind w:firstLine="540"/>
        <w:jc w:val="both"/>
        <w:rPr>
          <w:b/>
          <w:bCs/>
        </w:rPr>
      </w:pPr>
      <w:r w:rsidRPr="008B13EE">
        <w:rPr>
          <w:rFonts w:ascii="Times New Roman" w:hAnsi="Times New Roman" w:cs="Times New Roman"/>
        </w:rPr>
        <w:t>Номинальная стоимость:</w:t>
      </w:r>
      <w:r w:rsidRPr="008B13EE">
        <w:rPr>
          <w:b/>
          <w:bCs/>
          <w:i/>
          <w:iCs/>
        </w:rPr>
        <w:t xml:space="preserve"> </w:t>
      </w:r>
      <w:r w:rsidR="008B13EE" w:rsidRPr="008B13EE">
        <w:rPr>
          <w:b/>
          <w:i/>
          <w:iCs/>
        </w:rPr>
        <w:t>Минимальная и максимальная номинальная стоимость каждой Биржевой облигации  в условиях Программы биржевых облигаций не определяется.</w:t>
      </w:r>
    </w:p>
    <w:p w:rsidR="008B13EE" w:rsidRPr="008B13EE" w:rsidRDefault="008B13EE" w:rsidP="008B13EE">
      <w:pPr>
        <w:pStyle w:val="Default"/>
        <w:jc w:val="both"/>
        <w:rPr>
          <w:b/>
          <w:sz w:val="20"/>
          <w:szCs w:val="20"/>
        </w:rPr>
      </w:pPr>
    </w:p>
    <w:p w:rsidR="008B13EE" w:rsidRPr="008B13EE" w:rsidRDefault="008B13EE" w:rsidP="008B13EE">
      <w:pPr>
        <w:pStyle w:val="ConsPlusNormal"/>
        <w:ind w:firstLine="540"/>
        <w:jc w:val="both"/>
        <w:rPr>
          <w:b/>
          <w:bCs/>
        </w:rPr>
      </w:pPr>
      <w:r w:rsidRPr="008B13EE">
        <w:rPr>
          <w:b/>
          <w:i/>
          <w:iCs/>
          <w:u w:val="single"/>
        </w:rPr>
        <w:t>Номинальная стоимость каждой Биржевой облигации, размещаемой в рамках Программы биржевых облигаций, будет установлена в соответствующих Условиях выпуска</w:t>
      </w:r>
      <w:r w:rsidRPr="008B13EE">
        <w:rPr>
          <w:b/>
          <w:i/>
          <w:iCs/>
        </w:rPr>
        <w:t xml:space="preserve">. </w:t>
      </w:r>
    </w:p>
    <w:p w:rsidR="00BA2EFE" w:rsidRPr="008B13EE" w:rsidRDefault="00BA2EFE" w:rsidP="008B13EE">
      <w:pPr>
        <w:pStyle w:val="ConsPlusNormal"/>
        <w:ind w:firstLine="540"/>
        <w:jc w:val="both"/>
        <w:rPr>
          <w:rFonts w:ascii="Times New Roman" w:hAnsi="Times New Roman" w:cs="Times New Roman"/>
        </w:rPr>
      </w:pPr>
    </w:p>
    <w:p w:rsidR="005E0AC2" w:rsidRDefault="005E0AC2" w:rsidP="00BA2EFE">
      <w:pPr>
        <w:pStyle w:val="ConsPlusNormal"/>
        <w:ind w:firstLine="540"/>
        <w:jc w:val="both"/>
        <w:rPr>
          <w:rFonts w:ascii="Times New Roman" w:hAnsi="Times New Roman" w:cs="Times New Roman"/>
        </w:rPr>
      </w:pPr>
      <w:r>
        <w:rPr>
          <w:rFonts w:ascii="Times New Roman" w:hAnsi="Times New Roman" w:cs="Times New Roman"/>
        </w:rPr>
        <w:t xml:space="preserve">Сроки размещения: </w:t>
      </w:r>
    </w:p>
    <w:p w:rsidR="0081460A" w:rsidRPr="0081460A" w:rsidRDefault="0081460A" w:rsidP="0081460A">
      <w:pPr>
        <w:pStyle w:val="Default"/>
        <w:ind w:firstLine="567"/>
        <w:jc w:val="both"/>
        <w:rPr>
          <w:rFonts w:ascii="Arial" w:hAnsi="Arial" w:cs="Arial"/>
          <w:b/>
          <w:bCs/>
          <w:i/>
          <w:iCs/>
          <w:color w:val="auto"/>
          <w:sz w:val="20"/>
          <w:szCs w:val="20"/>
        </w:rPr>
      </w:pPr>
      <w:r w:rsidRPr="0081460A">
        <w:rPr>
          <w:rFonts w:ascii="Arial" w:hAnsi="Arial" w:cs="Arial"/>
          <w:b/>
          <w:bCs/>
          <w:i/>
          <w:iCs/>
          <w:color w:val="auto"/>
          <w:sz w:val="20"/>
          <w:szCs w:val="20"/>
        </w:rPr>
        <w:t>Срок (порядок определения срока) размещения Биржевых облигаций Программой не определяется.</w:t>
      </w:r>
    </w:p>
    <w:p w:rsidR="00404FEB" w:rsidRDefault="0081460A" w:rsidP="0081460A">
      <w:pPr>
        <w:pStyle w:val="Default"/>
        <w:ind w:firstLine="567"/>
        <w:jc w:val="both"/>
        <w:rPr>
          <w:rFonts w:ascii="Arial" w:hAnsi="Arial" w:cs="Arial"/>
          <w:b/>
          <w:bCs/>
          <w:i/>
          <w:iCs/>
          <w:color w:val="auto"/>
          <w:sz w:val="20"/>
          <w:szCs w:val="20"/>
        </w:rPr>
      </w:pPr>
      <w:r w:rsidRPr="0081460A">
        <w:rPr>
          <w:rFonts w:ascii="Arial" w:hAnsi="Arial" w:cs="Arial"/>
          <w:b/>
          <w:bCs/>
          <w:i/>
          <w:iCs/>
          <w:color w:val="auto"/>
          <w:sz w:val="20"/>
          <w:szCs w:val="20"/>
        </w:rPr>
        <w:t xml:space="preserve">Дата начала размещения Биржевых облигаций определяется единоличным исполнительным органом Эмитента и может быть указана в Условиях выпуска. </w:t>
      </w:r>
    </w:p>
    <w:p w:rsidR="0081460A" w:rsidRPr="0081460A" w:rsidRDefault="0081460A" w:rsidP="0081460A">
      <w:pPr>
        <w:pStyle w:val="Default"/>
        <w:ind w:firstLine="567"/>
        <w:jc w:val="both"/>
        <w:rPr>
          <w:rFonts w:ascii="Arial" w:hAnsi="Arial" w:cs="Arial"/>
          <w:color w:val="auto"/>
          <w:sz w:val="20"/>
          <w:szCs w:val="20"/>
          <w:u w:val="single"/>
        </w:rPr>
      </w:pPr>
      <w:r w:rsidRPr="0081460A">
        <w:rPr>
          <w:rFonts w:ascii="Arial" w:hAnsi="Arial" w:cs="Arial"/>
          <w:b/>
          <w:bCs/>
          <w:i/>
          <w:iCs/>
          <w:color w:val="auto"/>
          <w:sz w:val="20"/>
          <w:szCs w:val="20"/>
          <w:u w:val="single"/>
        </w:rPr>
        <w:t xml:space="preserve">Дата окончания размещения Биржевых облигаций или порядок определения срока их размещения будет установлена в соответствующих Условиях выпуска. </w:t>
      </w:r>
    </w:p>
    <w:p w:rsidR="0081460A" w:rsidRPr="0081460A" w:rsidRDefault="0081460A" w:rsidP="0081460A">
      <w:pPr>
        <w:spacing w:after="0"/>
        <w:ind w:firstLine="567"/>
        <w:jc w:val="both"/>
        <w:rPr>
          <w:rFonts w:ascii="Arial" w:hAnsi="Arial" w:cs="Arial"/>
          <w:b/>
          <w:bCs/>
          <w:i/>
          <w:iCs/>
        </w:rPr>
      </w:pPr>
    </w:p>
    <w:p w:rsidR="0081460A" w:rsidRPr="0081460A" w:rsidRDefault="0081460A" w:rsidP="0081460A">
      <w:pPr>
        <w:spacing w:after="0"/>
        <w:ind w:firstLine="567"/>
        <w:jc w:val="both"/>
        <w:rPr>
          <w:rFonts w:ascii="Arial" w:hAnsi="Arial" w:cs="Arial"/>
          <w:b/>
          <w:bCs/>
          <w:i/>
          <w:iCs/>
        </w:rPr>
      </w:pPr>
      <w:r w:rsidRPr="0081460A">
        <w:rPr>
          <w:rFonts w:ascii="Arial" w:hAnsi="Arial" w:cs="Arial"/>
          <w:b/>
          <w:bCs/>
          <w:i/>
          <w:iCs/>
        </w:rPr>
        <w:t xml:space="preserve">Эмитент раскрывает информацию о дате начала размещения Биржевых облигаций путем опубликования сообщения в информационном ресурсе, обновляемом в режиме реального времени и предоставляемом информационным агентством (далее – «лента новостей») хотя бы одного из информационных агентств, уполномоченных в установленном прядке на проведение действий по раскрытию информации о ценных бумагах и об иных финансовых инструментах, и на странице Эмитента в сети Интернет не позднее, чем за 1 (Один) день до даты начала размещения Биржевых облигаций. </w:t>
      </w:r>
    </w:p>
    <w:p w:rsidR="0081460A" w:rsidRPr="0081460A" w:rsidRDefault="0081460A" w:rsidP="0081460A">
      <w:pPr>
        <w:pStyle w:val="Default"/>
        <w:ind w:firstLine="567"/>
        <w:jc w:val="both"/>
        <w:rPr>
          <w:rFonts w:ascii="Arial" w:hAnsi="Arial" w:cs="Arial"/>
          <w:color w:val="auto"/>
          <w:sz w:val="20"/>
          <w:szCs w:val="20"/>
        </w:rPr>
      </w:pPr>
      <w:r w:rsidRPr="0081460A">
        <w:rPr>
          <w:rFonts w:ascii="Arial" w:hAnsi="Arial" w:cs="Arial"/>
          <w:b/>
          <w:bCs/>
          <w:i/>
          <w:iCs/>
          <w:color w:val="auto"/>
          <w:sz w:val="20"/>
          <w:szCs w:val="20"/>
        </w:rPr>
        <w:t xml:space="preserve">Об определенной дате начала размещения Эмитент уведомляет Биржу и НРД в согласованном порядке. </w:t>
      </w:r>
    </w:p>
    <w:p w:rsidR="0081460A" w:rsidRPr="0081460A" w:rsidRDefault="0081460A" w:rsidP="0081460A">
      <w:pPr>
        <w:pStyle w:val="Default"/>
        <w:ind w:firstLine="567"/>
        <w:jc w:val="both"/>
        <w:rPr>
          <w:rFonts w:ascii="Arial" w:hAnsi="Arial" w:cs="Arial"/>
          <w:color w:val="auto"/>
          <w:sz w:val="20"/>
          <w:szCs w:val="20"/>
        </w:rPr>
      </w:pPr>
      <w:r w:rsidRPr="0081460A">
        <w:rPr>
          <w:rFonts w:ascii="Arial" w:hAnsi="Arial" w:cs="Arial"/>
          <w:b/>
          <w:bCs/>
          <w:i/>
          <w:iCs/>
          <w:color w:val="auto"/>
          <w:sz w:val="20"/>
          <w:szCs w:val="20"/>
        </w:rPr>
        <w:t>Определенная единоличным исполнительным органом</w:t>
      </w:r>
      <w:r w:rsidRPr="0081460A" w:rsidDel="008E10FB">
        <w:rPr>
          <w:rFonts w:ascii="Arial" w:hAnsi="Arial" w:cs="Arial"/>
          <w:b/>
          <w:bCs/>
          <w:i/>
          <w:iCs/>
          <w:color w:val="auto"/>
          <w:sz w:val="20"/>
          <w:szCs w:val="20"/>
        </w:rPr>
        <w:t xml:space="preserve"> </w:t>
      </w:r>
      <w:r w:rsidRPr="0081460A">
        <w:rPr>
          <w:rFonts w:ascii="Arial" w:hAnsi="Arial" w:cs="Arial"/>
          <w:b/>
          <w:bCs/>
          <w:i/>
          <w:iCs/>
          <w:color w:val="auto"/>
          <w:sz w:val="20"/>
          <w:szCs w:val="20"/>
        </w:rPr>
        <w:t>Эмитента дата начала размещения Биржевых облигаций, которая</w:t>
      </w:r>
      <w:r w:rsidR="00C16276">
        <w:rPr>
          <w:rFonts w:ascii="Arial" w:hAnsi="Arial" w:cs="Arial"/>
          <w:b/>
          <w:bCs/>
          <w:i/>
          <w:iCs/>
          <w:color w:val="auto"/>
          <w:sz w:val="20"/>
          <w:szCs w:val="20"/>
        </w:rPr>
        <w:t>,</w:t>
      </w:r>
      <w:r w:rsidRPr="0081460A">
        <w:rPr>
          <w:rFonts w:ascii="Arial" w:hAnsi="Arial" w:cs="Arial"/>
          <w:b/>
          <w:bCs/>
          <w:i/>
          <w:iCs/>
          <w:color w:val="auto"/>
          <w:sz w:val="20"/>
          <w:szCs w:val="20"/>
        </w:rPr>
        <w:t xml:space="preserve"> при этом</w:t>
      </w:r>
      <w:r w:rsidR="00C16276">
        <w:rPr>
          <w:rFonts w:ascii="Arial" w:hAnsi="Arial" w:cs="Arial"/>
          <w:b/>
          <w:bCs/>
          <w:i/>
          <w:iCs/>
          <w:color w:val="auto"/>
          <w:sz w:val="20"/>
          <w:szCs w:val="20"/>
        </w:rPr>
        <w:t>,</w:t>
      </w:r>
      <w:r w:rsidRPr="0081460A">
        <w:rPr>
          <w:rFonts w:ascii="Arial" w:hAnsi="Arial" w:cs="Arial"/>
          <w:b/>
          <w:bCs/>
          <w:i/>
          <w:iCs/>
          <w:color w:val="auto"/>
          <w:sz w:val="20"/>
          <w:szCs w:val="20"/>
        </w:rPr>
        <w:t xml:space="preserve"> не была установлена в Условиях выпуска, может быть перенесена (изменена) решением того же органа управления Эмитента, при условии соблюдения требований к порядку раскрытия информации об изменении даты начала размещения Биржевых облигаций, определенному законодательством Российской Федерации. </w:t>
      </w:r>
    </w:p>
    <w:p w:rsidR="0081460A" w:rsidRPr="0081460A" w:rsidRDefault="0081460A" w:rsidP="0081460A">
      <w:pPr>
        <w:pStyle w:val="Default"/>
        <w:ind w:firstLine="567"/>
        <w:jc w:val="both"/>
        <w:rPr>
          <w:rFonts w:ascii="Arial" w:hAnsi="Arial" w:cs="Arial"/>
          <w:color w:val="auto"/>
          <w:sz w:val="20"/>
          <w:szCs w:val="20"/>
        </w:rPr>
      </w:pPr>
      <w:r w:rsidRPr="0081460A">
        <w:rPr>
          <w:rFonts w:ascii="Arial" w:hAnsi="Arial" w:cs="Arial"/>
          <w:b/>
          <w:bCs/>
          <w:i/>
          <w:iCs/>
          <w:color w:val="auto"/>
          <w:sz w:val="20"/>
          <w:szCs w:val="20"/>
        </w:rPr>
        <w:t xml:space="preserve">В случае принятия Эмитентом решения о переносе (изменении) даты начала размещения Биржевых облигаций, раскрытой в порядке, предусмотренном п. 11 Программы биржевых облигаций и разделом VIII Проспекта ценных бумаг, Эмитент обязан опубликовать сообщение об изменении даты начала размещения ценных бумаг в ленте новостей и на странице Эмитента в сети Интернет не позднее 1 (Одного) дня до наступления такой даты. </w:t>
      </w:r>
    </w:p>
    <w:p w:rsidR="0081460A" w:rsidRPr="0081460A" w:rsidRDefault="0081460A" w:rsidP="0081460A">
      <w:pPr>
        <w:pStyle w:val="Default"/>
        <w:ind w:firstLine="567"/>
        <w:jc w:val="both"/>
        <w:rPr>
          <w:rFonts w:ascii="Arial" w:hAnsi="Arial" w:cs="Arial"/>
          <w:color w:val="auto"/>
          <w:sz w:val="20"/>
          <w:szCs w:val="20"/>
        </w:rPr>
      </w:pPr>
      <w:r w:rsidRPr="0081460A">
        <w:rPr>
          <w:rFonts w:ascii="Arial" w:hAnsi="Arial" w:cs="Arial"/>
          <w:b/>
          <w:bCs/>
          <w:i/>
          <w:iCs/>
          <w:color w:val="auto"/>
          <w:sz w:val="20"/>
          <w:szCs w:val="20"/>
        </w:rPr>
        <w:t xml:space="preserve">Об изменении даты начала размещения Биржевых облигаций Эмитент уведомляет Биржу и НРД не позднее, чем за 1 (один) день до наступления соответствующей даты. </w:t>
      </w:r>
    </w:p>
    <w:p w:rsidR="0081460A" w:rsidRPr="0081460A" w:rsidRDefault="0081460A" w:rsidP="0081460A">
      <w:pPr>
        <w:pStyle w:val="Default"/>
        <w:ind w:firstLine="567"/>
        <w:jc w:val="both"/>
        <w:rPr>
          <w:rFonts w:ascii="Arial" w:hAnsi="Arial" w:cs="Arial"/>
          <w:b/>
          <w:bCs/>
          <w:i/>
          <w:iCs/>
          <w:color w:val="auto"/>
          <w:sz w:val="20"/>
          <w:szCs w:val="20"/>
        </w:rPr>
      </w:pPr>
      <w:r w:rsidRPr="0081460A">
        <w:rPr>
          <w:rFonts w:ascii="Arial" w:hAnsi="Arial" w:cs="Arial"/>
          <w:b/>
          <w:bCs/>
          <w:i/>
          <w:iCs/>
          <w:color w:val="auto"/>
          <w:sz w:val="20"/>
          <w:szCs w:val="20"/>
        </w:rPr>
        <w:t xml:space="preserve">Перенос (изменение) даты начала размещения Биржевых облигаций, установленной в Условиях выпуска, путем опубликования сообщения об изменении даты начала размещения ценных бумаг в ленте новостей и на странице  Эмитента в сети Интернет не допускается. </w:t>
      </w:r>
    </w:p>
    <w:p w:rsidR="00F92C08" w:rsidRDefault="00F92C08" w:rsidP="005E0AC2">
      <w:pPr>
        <w:pStyle w:val="ConsPlusNormal"/>
        <w:ind w:firstLine="540"/>
        <w:jc w:val="both"/>
        <w:rPr>
          <w:rFonts w:ascii="Times New Roman" w:hAnsi="Times New Roman" w:cs="Times New Roman"/>
        </w:rPr>
      </w:pPr>
    </w:p>
    <w:p w:rsidR="005E0AC2" w:rsidRDefault="005E0AC2" w:rsidP="005E0AC2">
      <w:pPr>
        <w:pStyle w:val="ConsPlusNormal"/>
        <w:ind w:firstLine="540"/>
        <w:jc w:val="both"/>
        <w:rPr>
          <w:rFonts w:ascii="Times New Roman" w:hAnsi="Times New Roman" w:cs="Times New Roman"/>
        </w:rPr>
      </w:pPr>
      <w:r>
        <w:rPr>
          <w:rFonts w:ascii="Times New Roman" w:hAnsi="Times New Roman" w:cs="Times New Roman"/>
        </w:rPr>
        <w:t xml:space="preserve">Порядок размещения: </w:t>
      </w:r>
    </w:p>
    <w:p w:rsidR="00845043" w:rsidRDefault="00845043" w:rsidP="0081460A">
      <w:pPr>
        <w:pStyle w:val="Default"/>
        <w:ind w:firstLine="567"/>
        <w:jc w:val="both"/>
        <w:rPr>
          <w:rFonts w:ascii="Arial" w:hAnsi="Arial" w:cs="Arial"/>
          <w:b/>
          <w:bCs/>
          <w:i/>
          <w:iCs/>
          <w:color w:val="auto"/>
          <w:sz w:val="20"/>
          <w:szCs w:val="20"/>
        </w:rPr>
      </w:pPr>
    </w:p>
    <w:p w:rsidR="0081460A" w:rsidRPr="0081460A" w:rsidRDefault="0081460A" w:rsidP="0081460A">
      <w:pPr>
        <w:pStyle w:val="Default"/>
        <w:ind w:firstLine="567"/>
        <w:jc w:val="both"/>
        <w:rPr>
          <w:rFonts w:ascii="Arial" w:hAnsi="Arial" w:cs="Arial"/>
          <w:color w:val="auto"/>
          <w:sz w:val="20"/>
          <w:szCs w:val="20"/>
        </w:rPr>
      </w:pPr>
      <w:r w:rsidRPr="0081460A">
        <w:rPr>
          <w:rFonts w:ascii="Arial" w:hAnsi="Arial" w:cs="Arial"/>
          <w:b/>
          <w:bCs/>
          <w:i/>
          <w:iCs/>
          <w:color w:val="auto"/>
          <w:sz w:val="20"/>
          <w:szCs w:val="20"/>
        </w:rPr>
        <w:t xml:space="preserve">Размещение Биржевых облигаций проводится путем заключения сделок купли-продажи по цене размещения Биржевых облигаций, порядок определения которой указан в п. 8.4. Программы биржевых облигаций и п.8.8.4 Проспекта ценных бумаг. </w:t>
      </w:r>
    </w:p>
    <w:p w:rsidR="0081460A" w:rsidRPr="0081460A" w:rsidRDefault="0081460A" w:rsidP="0081460A">
      <w:pPr>
        <w:pStyle w:val="Default"/>
        <w:ind w:firstLine="567"/>
        <w:jc w:val="both"/>
        <w:rPr>
          <w:rFonts w:ascii="Arial" w:hAnsi="Arial" w:cs="Arial"/>
          <w:color w:val="auto"/>
          <w:sz w:val="20"/>
          <w:szCs w:val="20"/>
        </w:rPr>
      </w:pPr>
      <w:r w:rsidRPr="0081460A">
        <w:rPr>
          <w:rFonts w:ascii="Arial" w:hAnsi="Arial" w:cs="Arial"/>
          <w:b/>
          <w:bCs/>
          <w:i/>
          <w:iCs/>
          <w:color w:val="auto"/>
          <w:sz w:val="20"/>
          <w:szCs w:val="20"/>
        </w:rPr>
        <w:t xml:space="preserve">Сделки при размещении Биржевых облигаций заключаются в Закрытом акционерном обществе «Фондовая биржа ММВБ» (далее и ранее - «Биржа», «ФБ ММВБ») путём удовлетворения адресных заявок на покупку Биржевых облигаций, поданных с использованием системы торгов Биржи в соответствии с Правилами проведения торгов по ценным бумагам в ЗАО «ФБ ММВБ» (далее - «Правила торгов Биржи», «Правила Биржи»). </w:t>
      </w:r>
    </w:p>
    <w:p w:rsidR="0081460A" w:rsidRPr="0081460A" w:rsidRDefault="0081460A" w:rsidP="0081460A">
      <w:pPr>
        <w:pStyle w:val="Default"/>
        <w:ind w:firstLine="567"/>
        <w:jc w:val="both"/>
        <w:rPr>
          <w:rFonts w:ascii="Arial" w:hAnsi="Arial" w:cs="Arial"/>
          <w:color w:val="auto"/>
          <w:sz w:val="20"/>
          <w:szCs w:val="20"/>
        </w:rPr>
      </w:pPr>
      <w:r w:rsidRPr="0081460A">
        <w:rPr>
          <w:rFonts w:ascii="Arial" w:hAnsi="Arial" w:cs="Arial"/>
          <w:b/>
          <w:bCs/>
          <w:i/>
          <w:iCs/>
          <w:color w:val="auto"/>
          <w:sz w:val="20"/>
          <w:szCs w:val="20"/>
        </w:rPr>
        <w:t xml:space="preserve">Адресные заявки на покупку Биржевых облигаций и встречные адресные заявки на продажу Биржевых облигаций подаются с использованием системы торгов ФБ ММВБ в электронном виде, при этом простая письменная форма договора считается соблюденной. Момент заключения сделки по размещению Биржевых облигаций определяется в соответствии с Правилами торгов Биржи. </w:t>
      </w:r>
    </w:p>
    <w:p w:rsidR="0081460A" w:rsidRPr="0081460A" w:rsidRDefault="0081460A" w:rsidP="0081460A">
      <w:pPr>
        <w:pStyle w:val="Default"/>
        <w:ind w:firstLine="567"/>
        <w:jc w:val="both"/>
        <w:rPr>
          <w:rFonts w:ascii="Arial" w:hAnsi="Arial" w:cs="Arial"/>
          <w:color w:val="auto"/>
          <w:sz w:val="20"/>
          <w:szCs w:val="20"/>
        </w:rPr>
      </w:pPr>
      <w:r w:rsidRPr="0081460A">
        <w:rPr>
          <w:rFonts w:ascii="Arial" w:hAnsi="Arial" w:cs="Arial"/>
          <w:b/>
          <w:bCs/>
          <w:i/>
          <w:iCs/>
          <w:color w:val="auto"/>
          <w:sz w:val="20"/>
          <w:szCs w:val="20"/>
        </w:rPr>
        <w:t>Отдельные письменные уведомления (сообщения) об удовлетворении (об отказе в удовлетворении) заявок, Участникам торгов не направляются.</w:t>
      </w:r>
    </w:p>
    <w:p w:rsidR="0081460A" w:rsidRPr="0081460A" w:rsidRDefault="0081460A" w:rsidP="0081460A">
      <w:pPr>
        <w:pStyle w:val="Default"/>
        <w:ind w:firstLine="567"/>
        <w:jc w:val="both"/>
        <w:rPr>
          <w:rFonts w:ascii="Arial" w:hAnsi="Arial" w:cs="Arial"/>
          <w:color w:val="auto"/>
          <w:sz w:val="20"/>
          <w:szCs w:val="20"/>
        </w:rPr>
      </w:pPr>
      <w:r w:rsidRPr="0081460A">
        <w:rPr>
          <w:rFonts w:ascii="Arial" w:hAnsi="Arial" w:cs="Arial"/>
          <w:b/>
          <w:bCs/>
          <w:i/>
          <w:iCs/>
          <w:color w:val="auto"/>
          <w:sz w:val="20"/>
          <w:szCs w:val="20"/>
        </w:rPr>
        <w:t xml:space="preserve">Торги проводятся в соответствии с Правилами Биржи, зарегистрированными в установленном законодательством РФ порядке. </w:t>
      </w:r>
    </w:p>
    <w:p w:rsidR="0081460A" w:rsidRPr="0081460A" w:rsidRDefault="0081460A" w:rsidP="0081460A">
      <w:pPr>
        <w:pStyle w:val="Default"/>
        <w:ind w:firstLine="567"/>
        <w:jc w:val="both"/>
        <w:rPr>
          <w:rFonts w:ascii="Arial" w:hAnsi="Arial" w:cs="Arial"/>
          <w:color w:val="auto"/>
          <w:sz w:val="20"/>
          <w:szCs w:val="20"/>
        </w:rPr>
      </w:pPr>
      <w:r w:rsidRPr="0081460A">
        <w:rPr>
          <w:rFonts w:ascii="Arial" w:hAnsi="Arial" w:cs="Arial"/>
          <w:b/>
          <w:bCs/>
          <w:i/>
          <w:iCs/>
          <w:color w:val="auto"/>
          <w:sz w:val="20"/>
          <w:szCs w:val="20"/>
        </w:rPr>
        <w:t xml:space="preserve">Размещение Биржевых облигаций может происходить в форме конкурса по определению процентной ставки по первому купону (далее – «Конкурс» или «Конкурс по определению процентной ставки по первому купону») либо путем сбора адресных заявок со стороны покупателей на приобретение Биржевых облигаций по фиксированной цене и процентной ставке по первому купону, заранее установленной Эмитентом в порядке и на условиях, предусмотренных Программой биржевых облигаций (далее – «Размещение Биржевых облигаций путем сбора адресных заявок» или «Сбор адресных заявок со стороны покупателей на приобретение Биржевых облигаций по фиксированной цене и процентной ставке по первому купону»). </w:t>
      </w:r>
    </w:p>
    <w:p w:rsidR="0081460A" w:rsidRPr="0081460A" w:rsidRDefault="0081460A" w:rsidP="0081460A">
      <w:pPr>
        <w:pStyle w:val="Default"/>
        <w:ind w:firstLine="567"/>
        <w:jc w:val="both"/>
        <w:rPr>
          <w:rFonts w:ascii="Arial" w:hAnsi="Arial" w:cs="Arial"/>
          <w:color w:val="auto"/>
          <w:sz w:val="20"/>
          <w:szCs w:val="20"/>
        </w:rPr>
      </w:pPr>
      <w:r w:rsidRPr="0081460A">
        <w:rPr>
          <w:rFonts w:ascii="Arial" w:hAnsi="Arial" w:cs="Arial"/>
          <w:b/>
          <w:bCs/>
          <w:i/>
          <w:iCs/>
          <w:color w:val="auto"/>
          <w:sz w:val="20"/>
          <w:szCs w:val="20"/>
        </w:rPr>
        <w:t xml:space="preserve">До даты начала размещения выпуска Биржевых облигаций Эмитент принимает решение о порядке размещения ценных бумаг (размещение Биржевых облигаций в форме Конкурса либо Размещение Биржевых облигаций путем сбора адресных заявок). </w:t>
      </w:r>
    </w:p>
    <w:p w:rsidR="0081460A" w:rsidRPr="0081460A" w:rsidRDefault="0081460A" w:rsidP="0081460A">
      <w:pPr>
        <w:pStyle w:val="Default"/>
        <w:ind w:firstLine="567"/>
        <w:jc w:val="both"/>
        <w:rPr>
          <w:rFonts w:ascii="Arial" w:hAnsi="Arial" w:cs="Arial"/>
          <w:color w:val="auto"/>
          <w:sz w:val="20"/>
          <w:szCs w:val="20"/>
        </w:rPr>
      </w:pPr>
      <w:r w:rsidRPr="0081460A">
        <w:rPr>
          <w:rFonts w:ascii="Arial" w:hAnsi="Arial" w:cs="Arial"/>
          <w:b/>
          <w:bCs/>
          <w:i/>
          <w:iCs/>
          <w:color w:val="auto"/>
          <w:sz w:val="20"/>
          <w:szCs w:val="20"/>
        </w:rPr>
        <w:t>Сообщение о принятии Эмитентом решения о порядке размещения ценных бумаг раскрывается в порядке, предусмотренном в п.11 Программы биржевых облигаций и разделом VIII Проспекта ценных бумаг</w:t>
      </w:r>
      <w:r w:rsidRPr="0081460A">
        <w:rPr>
          <w:rFonts w:ascii="Arial" w:hAnsi="Arial" w:cs="Arial"/>
          <w:sz w:val="20"/>
          <w:szCs w:val="20"/>
        </w:rPr>
        <w:t xml:space="preserve"> </w:t>
      </w:r>
      <w:r w:rsidRPr="0081460A">
        <w:rPr>
          <w:rFonts w:ascii="Arial" w:hAnsi="Arial" w:cs="Arial"/>
          <w:b/>
          <w:bCs/>
          <w:i/>
          <w:iCs/>
          <w:color w:val="auto"/>
          <w:sz w:val="20"/>
          <w:szCs w:val="20"/>
          <w:u w:val="single"/>
        </w:rPr>
        <w:t>либо указывается в п. 8.3 Условий выпуска</w:t>
      </w:r>
      <w:r w:rsidRPr="0081460A">
        <w:rPr>
          <w:rFonts w:ascii="Arial" w:hAnsi="Arial" w:cs="Arial"/>
          <w:b/>
          <w:bCs/>
          <w:i/>
          <w:iCs/>
          <w:color w:val="auto"/>
          <w:sz w:val="20"/>
          <w:szCs w:val="20"/>
        </w:rPr>
        <w:t xml:space="preserve">. </w:t>
      </w:r>
    </w:p>
    <w:p w:rsidR="0081460A" w:rsidRPr="0081460A" w:rsidRDefault="0081460A" w:rsidP="0081460A">
      <w:pPr>
        <w:pStyle w:val="Default"/>
        <w:ind w:firstLine="567"/>
        <w:jc w:val="both"/>
        <w:rPr>
          <w:rFonts w:ascii="Arial" w:hAnsi="Arial" w:cs="Arial"/>
          <w:b/>
          <w:bCs/>
          <w:i/>
          <w:iCs/>
          <w:color w:val="auto"/>
          <w:sz w:val="20"/>
          <w:szCs w:val="20"/>
        </w:rPr>
      </w:pPr>
      <w:r w:rsidRPr="0081460A">
        <w:rPr>
          <w:rFonts w:ascii="Arial" w:hAnsi="Arial" w:cs="Arial"/>
          <w:b/>
          <w:bCs/>
          <w:i/>
          <w:iCs/>
          <w:color w:val="auto"/>
          <w:sz w:val="20"/>
          <w:szCs w:val="20"/>
        </w:rPr>
        <w:t xml:space="preserve">Эмитент информирует Биржу о порядке размещения Биржевых облигаций в согласованном порядке. </w:t>
      </w:r>
    </w:p>
    <w:p w:rsidR="0081460A" w:rsidRPr="0081460A" w:rsidRDefault="0081460A" w:rsidP="0081460A">
      <w:pPr>
        <w:pStyle w:val="Default"/>
        <w:ind w:firstLine="567"/>
        <w:jc w:val="both"/>
        <w:rPr>
          <w:rFonts w:ascii="Arial" w:hAnsi="Arial" w:cs="Arial"/>
          <w:b/>
          <w:bCs/>
          <w:i/>
          <w:iCs/>
          <w:color w:val="auto"/>
          <w:sz w:val="20"/>
          <w:szCs w:val="20"/>
        </w:rPr>
      </w:pPr>
      <w:r w:rsidRPr="0081460A">
        <w:rPr>
          <w:rFonts w:ascii="Arial" w:hAnsi="Arial" w:cs="Arial"/>
          <w:b/>
          <w:bCs/>
          <w:i/>
          <w:iCs/>
          <w:color w:val="auto"/>
          <w:sz w:val="20"/>
          <w:szCs w:val="20"/>
        </w:rPr>
        <w:t xml:space="preserve">Изменение и/или расторжение договоров, заключенных при размещении Биржевых облигаций, осуществляется по основаниям и в порядке, предусмотренном гл. 29 Гражданского кодекса Российской Федерации. </w:t>
      </w:r>
    </w:p>
    <w:p w:rsidR="0081460A" w:rsidRPr="0081460A" w:rsidRDefault="0081460A" w:rsidP="0081460A">
      <w:pPr>
        <w:pStyle w:val="Default"/>
        <w:ind w:firstLine="567"/>
        <w:jc w:val="both"/>
        <w:rPr>
          <w:rFonts w:ascii="Arial" w:hAnsi="Arial" w:cs="Arial"/>
          <w:b/>
          <w:bCs/>
          <w:i/>
          <w:iCs/>
          <w:color w:val="auto"/>
          <w:sz w:val="20"/>
          <w:szCs w:val="20"/>
        </w:rPr>
      </w:pPr>
      <w:r w:rsidRPr="0081460A">
        <w:rPr>
          <w:rFonts w:ascii="Arial" w:hAnsi="Arial" w:cs="Arial"/>
          <w:b/>
          <w:bCs/>
          <w:i/>
          <w:iCs/>
          <w:color w:val="auto"/>
          <w:sz w:val="20"/>
          <w:szCs w:val="20"/>
        </w:rPr>
        <w:t>Приобретение Биржевых облигаций Эмитента в ходе их размещения не может быть осуществлено за счет Эмитента.</w:t>
      </w:r>
    </w:p>
    <w:p w:rsidR="00F92C08" w:rsidRPr="00A66780" w:rsidRDefault="00F92C08" w:rsidP="00A66780">
      <w:pPr>
        <w:pStyle w:val="ConsPlusNormal"/>
        <w:ind w:firstLine="540"/>
        <w:jc w:val="both"/>
        <w:rPr>
          <w:b/>
          <w:bCs/>
          <w:i/>
          <w:iCs/>
        </w:rPr>
      </w:pPr>
    </w:p>
    <w:p w:rsidR="0081460A" w:rsidRPr="0081460A" w:rsidRDefault="0081460A" w:rsidP="0081460A">
      <w:pPr>
        <w:pStyle w:val="Default"/>
        <w:ind w:firstLine="567"/>
        <w:jc w:val="both"/>
        <w:rPr>
          <w:rFonts w:ascii="Arial" w:hAnsi="Arial" w:cs="Arial"/>
          <w:color w:val="auto"/>
          <w:sz w:val="20"/>
          <w:szCs w:val="20"/>
          <w:u w:val="single"/>
        </w:rPr>
      </w:pPr>
      <w:r w:rsidRPr="0081460A">
        <w:rPr>
          <w:rFonts w:ascii="Arial" w:hAnsi="Arial" w:cs="Arial"/>
          <w:b/>
          <w:bCs/>
          <w:i/>
          <w:iCs/>
          <w:color w:val="auto"/>
          <w:sz w:val="20"/>
          <w:szCs w:val="20"/>
          <w:u w:val="single"/>
        </w:rPr>
        <w:t xml:space="preserve">Сведения о профессиональном участнике (профессиональных участниках) рынка ценных бумаг, который (которые) оказывает (оказывают) Эмитенту услуги по организации размещения Биржевых облигаций (далее – «Организатор», «Организаторы»), а также сведения о профессиональном участнике рынка ценных бумаг, который  выполняет функции посредника при размещении ценных бумаг на торгах ФБ ММВБ (далее - «Андеррайтер»), будут приведены в соответствующих Условиях выпуска. </w:t>
      </w:r>
    </w:p>
    <w:p w:rsidR="0081460A" w:rsidRPr="009C69B6" w:rsidRDefault="0081460A" w:rsidP="00A66780">
      <w:pPr>
        <w:pStyle w:val="Default"/>
        <w:jc w:val="both"/>
        <w:rPr>
          <w:rFonts w:ascii="Arial" w:hAnsi="Arial" w:cs="Arial"/>
          <w:b/>
          <w:bCs/>
          <w:i/>
          <w:iCs/>
          <w:color w:val="auto"/>
          <w:sz w:val="20"/>
          <w:szCs w:val="20"/>
        </w:rPr>
      </w:pPr>
    </w:p>
    <w:p w:rsidR="0081460A" w:rsidRPr="0081460A" w:rsidRDefault="0081460A" w:rsidP="0081460A">
      <w:pPr>
        <w:pStyle w:val="Default"/>
        <w:ind w:firstLine="567"/>
        <w:jc w:val="both"/>
        <w:rPr>
          <w:rFonts w:ascii="Arial" w:hAnsi="Arial" w:cs="Arial"/>
          <w:color w:val="auto"/>
          <w:sz w:val="20"/>
          <w:szCs w:val="20"/>
        </w:rPr>
      </w:pPr>
      <w:r w:rsidRPr="0081460A">
        <w:rPr>
          <w:rFonts w:ascii="Arial" w:hAnsi="Arial" w:cs="Arial"/>
          <w:b/>
          <w:bCs/>
          <w:i/>
          <w:iCs/>
          <w:color w:val="auto"/>
          <w:sz w:val="20"/>
          <w:szCs w:val="20"/>
        </w:rPr>
        <w:t xml:space="preserve">Цена размещения Биржевых облигаций устанавливается равной 100% от номинальной стоимости Биржевых облигаций. </w:t>
      </w:r>
    </w:p>
    <w:p w:rsidR="0081460A" w:rsidRPr="0081460A" w:rsidRDefault="0081460A" w:rsidP="0081460A">
      <w:pPr>
        <w:pStyle w:val="Default"/>
        <w:ind w:firstLine="567"/>
        <w:jc w:val="both"/>
        <w:rPr>
          <w:rFonts w:ascii="Arial" w:hAnsi="Arial" w:cs="Arial"/>
          <w:color w:val="auto"/>
          <w:sz w:val="20"/>
          <w:szCs w:val="20"/>
          <w:u w:val="single"/>
        </w:rPr>
      </w:pPr>
      <w:r w:rsidRPr="0081460A">
        <w:rPr>
          <w:rFonts w:ascii="Arial" w:hAnsi="Arial" w:cs="Arial"/>
          <w:b/>
          <w:bCs/>
          <w:i/>
          <w:iCs/>
          <w:color w:val="auto"/>
          <w:sz w:val="20"/>
          <w:szCs w:val="20"/>
          <w:u w:val="single"/>
        </w:rPr>
        <w:t xml:space="preserve">Номинальная стоимость каждой Биржевой облигации, размещаемой в рамках Программы биржевых облигаций, будет установлена в соответствующих Условиях выпуска. </w:t>
      </w:r>
    </w:p>
    <w:p w:rsidR="0081460A" w:rsidRPr="0081460A" w:rsidRDefault="0081460A" w:rsidP="0081460A">
      <w:pPr>
        <w:pStyle w:val="Default"/>
        <w:ind w:firstLine="567"/>
        <w:jc w:val="both"/>
        <w:rPr>
          <w:rFonts w:ascii="Arial" w:hAnsi="Arial" w:cs="Arial"/>
          <w:color w:val="auto"/>
          <w:sz w:val="20"/>
          <w:szCs w:val="20"/>
        </w:rPr>
      </w:pPr>
      <w:r w:rsidRPr="0081460A">
        <w:rPr>
          <w:rFonts w:ascii="Arial" w:hAnsi="Arial" w:cs="Arial"/>
          <w:b/>
          <w:bCs/>
          <w:i/>
          <w:iCs/>
          <w:color w:val="auto"/>
          <w:sz w:val="20"/>
          <w:szCs w:val="20"/>
        </w:rPr>
        <w:t xml:space="preserve">Начиная со второго дня размещения Биржевых облигаций, покупатель при приобретении Биржевых облигаций уплачивает также к установленной цене размещения накопленный купонный доход по Биржевым облигациям (далее - НКД), определяемый по формуле: </w:t>
      </w:r>
    </w:p>
    <w:p w:rsidR="0081460A" w:rsidRPr="0081460A" w:rsidRDefault="0081460A" w:rsidP="0081460A">
      <w:pPr>
        <w:pStyle w:val="Default"/>
        <w:ind w:firstLine="567"/>
        <w:jc w:val="both"/>
        <w:rPr>
          <w:rFonts w:ascii="Arial" w:hAnsi="Arial" w:cs="Arial"/>
          <w:color w:val="auto"/>
          <w:sz w:val="20"/>
          <w:szCs w:val="20"/>
        </w:rPr>
      </w:pPr>
      <w:r w:rsidRPr="0081460A">
        <w:rPr>
          <w:rFonts w:ascii="Arial" w:hAnsi="Arial" w:cs="Arial"/>
          <w:b/>
          <w:bCs/>
          <w:i/>
          <w:iCs/>
          <w:color w:val="auto"/>
          <w:sz w:val="20"/>
          <w:szCs w:val="20"/>
        </w:rPr>
        <w:t xml:space="preserve">НКД = Nom * C(1) * (T - T(0))/365/100%, где </w:t>
      </w:r>
    </w:p>
    <w:p w:rsidR="0081460A" w:rsidRPr="0081460A" w:rsidRDefault="0081460A" w:rsidP="0081460A">
      <w:pPr>
        <w:pStyle w:val="Default"/>
        <w:ind w:firstLine="567"/>
        <w:jc w:val="both"/>
        <w:rPr>
          <w:rFonts w:ascii="Arial" w:hAnsi="Arial" w:cs="Arial"/>
          <w:color w:val="auto"/>
          <w:sz w:val="20"/>
          <w:szCs w:val="20"/>
        </w:rPr>
      </w:pPr>
      <w:r w:rsidRPr="0081460A">
        <w:rPr>
          <w:rFonts w:ascii="Arial" w:hAnsi="Arial" w:cs="Arial"/>
          <w:b/>
          <w:bCs/>
          <w:i/>
          <w:iCs/>
          <w:color w:val="auto"/>
          <w:sz w:val="20"/>
          <w:szCs w:val="20"/>
        </w:rPr>
        <w:t xml:space="preserve">НКД - накопленный купонный доход, руб.; </w:t>
      </w:r>
    </w:p>
    <w:p w:rsidR="0081460A" w:rsidRPr="0081460A" w:rsidRDefault="0081460A" w:rsidP="0081460A">
      <w:pPr>
        <w:pStyle w:val="Default"/>
        <w:ind w:firstLine="567"/>
        <w:jc w:val="both"/>
        <w:rPr>
          <w:rFonts w:ascii="Arial" w:hAnsi="Arial" w:cs="Arial"/>
          <w:color w:val="auto"/>
          <w:sz w:val="20"/>
          <w:szCs w:val="20"/>
        </w:rPr>
      </w:pPr>
      <w:r w:rsidRPr="0081460A">
        <w:rPr>
          <w:rFonts w:ascii="Arial" w:hAnsi="Arial" w:cs="Arial"/>
          <w:b/>
          <w:bCs/>
          <w:i/>
          <w:iCs/>
          <w:color w:val="auto"/>
          <w:sz w:val="20"/>
          <w:szCs w:val="20"/>
        </w:rPr>
        <w:t xml:space="preserve">Nom - номинальная стоимость одной Биржевой облигации, руб.; </w:t>
      </w:r>
    </w:p>
    <w:p w:rsidR="0081460A" w:rsidRPr="0081460A" w:rsidRDefault="0081460A" w:rsidP="0081460A">
      <w:pPr>
        <w:pStyle w:val="Default"/>
        <w:ind w:firstLine="567"/>
        <w:jc w:val="both"/>
        <w:rPr>
          <w:rFonts w:ascii="Arial" w:hAnsi="Arial" w:cs="Arial"/>
          <w:color w:val="auto"/>
          <w:sz w:val="20"/>
          <w:szCs w:val="20"/>
        </w:rPr>
      </w:pPr>
      <w:r w:rsidRPr="0081460A">
        <w:rPr>
          <w:rFonts w:ascii="Arial" w:hAnsi="Arial" w:cs="Arial"/>
          <w:b/>
          <w:bCs/>
          <w:i/>
          <w:iCs/>
          <w:color w:val="auto"/>
          <w:sz w:val="20"/>
          <w:szCs w:val="20"/>
        </w:rPr>
        <w:t xml:space="preserve">С(1) - величина процентной ставки купона на первый купонный период в процентах годовых (%); </w:t>
      </w:r>
    </w:p>
    <w:p w:rsidR="0081460A" w:rsidRPr="0081460A" w:rsidRDefault="0081460A" w:rsidP="0081460A">
      <w:pPr>
        <w:pStyle w:val="Default"/>
        <w:ind w:firstLine="567"/>
        <w:jc w:val="both"/>
        <w:rPr>
          <w:rFonts w:ascii="Arial" w:hAnsi="Arial" w:cs="Arial"/>
          <w:color w:val="auto"/>
          <w:sz w:val="20"/>
          <w:szCs w:val="20"/>
        </w:rPr>
      </w:pPr>
      <w:r w:rsidRPr="0081460A">
        <w:rPr>
          <w:rFonts w:ascii="Arial" w:hAnsi="Arial" w:cs="Arial"/>
          <w:b/>
          <w:bCs/>
          <w:i/>
          <w:iCs/>
          <w:color w:val="auto"/>
          <w:sz w:val="20"/>
          <w:szCs w:val="20"/>
        </w:rPr>
        <w:t xml:space="preserve">T – текущая дата размещения Биржевых облигаций; </w:t>
      </w:r>
    </w:p>
    <w:p w:rsidR="0081460A" w:rsidRPr="0081460A" w:rsidRDefault="0081460A" w:rsidP="0081460A">
      <w:pPr>
        <w:pStyle w:val="Default"/>
        <w:ind w:firstLine="567"/>
        <w:jc w:val="both"/>
        <w:rPr>
          <w:rFonts w:ascii="Arial" w:hAnsi="Arial" w:cs="Arial"/>
          <w:color w:val="auto"/>
          <w:sz w:val="20"/>
          <w:szCs w:val="20"/>
        </w:rPr>
      </w:pPr>
      <w:r w:rsidRPr="0081460A">
        <w:rPr>
          <w:rFonts w:ascii="Arial" w:hAnsi="Arial" w:cs="Arial"/>
          <w:b/>
          <w:bCs/>
          <w:i/>
          <w:iCs/>
          <w:color w:val="auto"/>
          <w:sz w:val="20"/>
          <w:szCs w:val="20"/>
        </w:rPr>
        <w:t xml:space="preserve">T(0) - дата начала размещения Биржевых облигаций. </w:t>
      </w:r>
    </w:p>
    <w:p w:rsidR="0081460A" w:rsidRPr="0081460A" w:rsidRDefault="0081460A" w:rsidP="0081460A">
      <w:pPr>
        <w:pStyle w:val="Default"/>
        <w:ind w:firstLine="567"/>
        <w:jc w:val="both"/>
        <w:rPr>
          <w:rFonts w:ascii="Arial" w:hAnsi="Arial" w:cs="Arial"/>
          <w:color w:val="auto"/>
          <w:sz w:val="20"/>
          <w:szCs w:val="20"/>
        </w:rPr>
      </w:pPr>
      <w:r w:rsidRPr="0081460A">
        <w:rPr>
          <w:rFonts w:ascii="Arial" w:hAnsi="Arial" w:cs="Arial"/>
          <w:b/>
          <w:bCs/>
          <w:i/>
          <w:iCs/>
          <w:color w:val="auto"/>
          <w:sz w:val="20"/>
          <w:szCs w:val="20"/>
        </w:rPr>
        <w:t xml:space="preserve">Величина НКД в расчете на одну Биржевую облигацию рассчитывается с точностью до одной копейки (округление производится по правилам математического округления до ближайшего целого числа; при этом под правилом математического округления следует понимать метод округления, при котором значение целой копейки (целых копеек) не изменяется, если следующая за округляемой цифра равна от 0 до 4, и изменяется, увеличиваясь на единицу, если следующая за округляемой цифра равна от 5 до 9). </w:t>
      </w:r>
    </w:p>
    <w:p w:rsidR="005E0AC2" w:rsidRDefault="005E0AC2" w:rsidP="005E0AC2">
      <w:pPr>
        <w:pStyle w:val="ConsPlusNormal"/>
        <w:ind w:firstLine="540"/>
        <w:jc w:val="both"/>
        <w:rPr>
          <w:rFonts w:ascii="Times New Roman" w:hAnsi="Times New Roman" w:cs="Times New Roman"/>
        </w:rPr>
      </w:pPr>
      <w:r>
        <w:rPr>
          <w:rFonts w:ascii="Times New Roman" w:hAnsi="Times New Roman" w:cs="Times New Roman"/>
        </w:rPr>
        <w:t xml:space="preserve">в) основные сведения о размещенных эмитентом ценных бумагах, в отношении которых осуществляется регистрация проспекта (в случае регистрации проспекта ценных бумаг впоследствии (после государственной регистрации отчета (представления уведомления) об итогах выпуска (дополнительного выпуска) ценных бумаг): вид, категория (тип), серия (для облигаций) и иные идентификационные признаки ценных бумаг, количество размещенных ценных бумаг, номинальная стоимость (в случае если наличие номинальной стоимости предусмотрено законодательством Российской Федерации), условия обеспечения (для облигаций с обеспечением), условия конвертации (для конвертируемых ценных бумаг): </w:t>
      </w:r>
      <w:r>
        <w:rPr>
          <w:b/>
          <w:bCs/>
          <w:i/>
          <w:iCs/>
        </w:rPr>
        <w:t>указанные ценные бумаги отсутствуют.</w:t>
      </w:r>
    </w:p>
    <w:p w:rsidR="005E0AC2" w:rsidRDefault="005E0AC2" w:rsidP="005E0AC2">
      <w:pPr>
        <w:pStyle w:val="ConsPlusNormal"/>
        <w:ind w:firstLine="540"/>
        <w:jc w:val="both"/>
        <w:rPr>
          <w:rFonts w:ascii="Times New Roman" w:hAnsi="Times New Roman" w:cs="Times New Roman"/>
        </w:rPr>
      </w:pPr>
    </w:p>
    <w:p w:rsidR="005E0AC2" w:rsidRDefault="005E0AC2" w:rsidP="005E0AC2">
      <w:pPr>
        <w:pStyle w:val="ConsPlusNormal"/>
        <w:ind w:firstLine="540"/>
        <w:jc w:val="both"/>
        <w:rPr>
          <w:b/>
          <w:bCs/>
          <w:i/>
          <w:iCs/>
        </w:rPr>
      </w:pPr>
      <w:r>
        <w:rPr>
          <w:rFonts w:ascii="Times New Roman" w:hAnsi="Times New Roman" w:cs="Times New Roman"/>
        </w:rPr>
        <w:t xml:space="preserve">г) основные цели эмиссии и направления использования средств, полученных в результате размещения ценных бумаг, в случае если регистрация проспекта осуществляется в отношении ценных бумаг, размещаемых путем открытой или закрытой подписки: </w:t>
      </w:r>
      <w:r w:rsidRPr="00291467">
        <w:rPr>
          <w:b/>
          <w:bCs/>
          <w:i/>
          <w:iCs/>
        </w:rPr>
        <w:t>Основными целями эмиссии</w:t>
      </w:r>
      <w:r>
        <w:rPr>
          <w:b/>
          <w:bCs/>
          <w:i/>
          <w:iCs/>
        </w:rPr>
        <w:t xml:space="preserve"> является привлечение денежных средств для </w:t>
      </w:r>
      <w:r w:rsidR="00916933">
        <w:rPr>
          <w:b/>
          <w:bCs/>
          <w:i/>
          <w:iCs/>
        </w:rPr>
        <w:t xml:space="preserve">финансирования </w:t>
      </w:r>
      <w:r w:rsidR="002168CC">
        <w:rPr>
          <w:b/>
          <w:bCs/>
          <w:i/>
          <w:iCs/>
        </w:rPr>
        <w:t>основной хозяйственной деятельности Эмитента и/или оптимизаци</w:t>
      </w:r>
      <w:r w:rsidR="00916933">
        <w:rPr>
          <w:b/>
          <w:bCs/>
          <w:i/>
          <w:iCs/>
        </w:rPr>
        <w:t>и</w:t>
      </w:r>
      <w:r w:rsidR="002168CC">
        <w:rPr>
          <w:b/>
          <w:bCs/>
          <w:i/>
          <w:iCs/>
        </w:rPr>
        <w:t xml:space="preserve"> структуры кредитного портфеля и/или осуществлени</w:t>
      </w:r>
      <w:r w:rsidR="00916933">
        <w:rPr>
          <w:b/>
          <w:bCs/>
          <w:i/>
          <w:iCs/>
        </w:rPr>
        <w:t>я</w:t>
      </w:r>
      <w:r w:rsidR="002168CC">
        <w:rPr>
          <w:b/>
          <w:bCs/>
          <w:i/>
          <w:iCs/>
        </w:rPr>
        <w:t xml:space="preserve"> инвестиций</w:t>
      </w:r>
      <w:r>
        <w:rPr>
          <w:b/>
          <w:bCs/>
          <w:i/>
          <w:iCs/>
        </w:rPr>
        <w:t xml:space="preserve">. </w:t>
      </w:r>
    </w:p>
    <w:p w:rsidR="005E0AC2" w:rsidRDefault="005E0AC2" w:rsidP="005E0AC2">
      <w:pPr>
        <w:pStyle w:val="ConsPlusNormal"/>
        <w:ind w:firstLine="540"/>
        <w:jc w:val="both"/>
        <w:rPr>
          <w:rFonts w:ascii="Times New Roman" w:hAnsi="Times New Roman" w:cs="Times New Roman"/>
        </w:rPr>
      </w:pPr>
      <w:r>
        <w:rPr>
          <w:b/>
          <w:bCs/>
          <w:i/>
          <w:iCs/>
        </w:rPr>
        <w:t>Размещение Биржевых облигаций не осуществляется с целью финансирования определенной сделки (взаимосвязанных сделок) или иной операции.</w:t>
      </w:r>
    </w:p>
    <w:p w:rsidR="005E0AC2" w:rsidRDefault="005E0AC2" w:rsidP="005E0AC2">
      <w:pPr>
        <w:pStyle w:val="ConsPlusNormal"/>
        <w:ind w:firstLine="540"/>
        <w:jc w:val="both"/>
        <w:rPr>
          <w:rFonts w:ascii="Times New Roman" w:hAnsi="Times New Roman" w:cs="Times New Roman"/>
        </w:rPr>
      </w:pPr>
    </w:p>
    <w:p w:rsidR="00A0659A" w:rsidRPr="00A0659A" w:rsidRDefault="005E0AC2" w:rsidP="005E0AC2">
      <w:pPr>
        <w:pStyle w:val="ConsPlusNormal"/>
        <w:ind w:firstLine="540"/>
        <w:jc w:val="both"/>
        <w:rPr>
          <w:b/>
          <w:bCs/>
          <w:i/>
          <w:iCs/>
        </w:rPr>
      </w:pPr>
      <w:r>
        <w:rPr>
          <w:rFonts w:ascii="Times New Roman" w:hAnsi="Times New Roman" w:cs="Times New Roman"/>
        </w:rPr>
        <w:t xml:space="preserve">д) иную информацию, которую эмитент посчитает необходимым указать во введении: </w:t>
      </w:r>
      <w:r w:rsidR="0084792E">
        <w:rPr>
          <w:b/>
          <w:bCs/>
          <w:i/>
          <w:iCs/>
        </w:rPr>
        <w:t>иная информация отсутствует.</w:t>
      </w:r>
    </w:p>
    <w:p w:rsidR="00A0659A" w:rsidRDefault="00A0659A" w:rsidP="005E0AC2">
      <w:pPr>
        <w:pStyle w:val="ConsPlusNormal"/>
        <w:ind w:firstLine="540"/>
        <w:jc w:val="both"/>
        <w:rPr>
          <w:rFonts w:ascii="Times New Roman" w:hAnsi="Times New Roman" w:cs="Times New Roman"/>
        </w:rPr>
      </w:pPr>
    </w:p>
    <w:p w:rsidR="005E0AC2" w:rsidRDefault="005E0AC2" w:rsidP="005E0AC2">
      <w:pPr>
        <w:pStyle w:val="ConsPlusNormal"/>
        <w:ind w:firstLine="540"/>
        <w:jc w:val="both"/>
        <w:rPr>
          <w:b/>
          <w:bCs/>
          <w:i/>
          <w:iCs/>
        </w:rPr>
      </w:pPr>
      <w:r>
        <w:rPr>
          <w:b/>
          <w:bCs/>
          <w:i/>
          <w:iCs/>
        </w:rPr>
        <w:t xml:space="preserve">«Настоящий проспект ценных бумаг содержит оценки и прогнозы уполномоченных органов управления </w:t>
      </w:r>
      <w:r w:rsidR="009E7AD9">
        <w:rPr>
          <w:b/>
          <w:bCs/>
          <w:i/>
          <w:iCs/>
        </w:rPr>
        <w:t xml:space="preserve">Эмитента </w:t>
      </w:r>
      <w:r>
        <w:rPr>
          <w:b/>
          <w:bCs/>
          <w:i/>
          <w:iCs/>
        </w:rPr>
        <w:t xml:space="preserve">касательно будущих событий и (или) действий, перспектив развития отрасли экономики, в которой </w:t>
      </w:r>
      <w:r w:rsidR="009E7AD9">
        <w:rPr>
          <w:b/>
          <w:bCs/>
          <w:i/>
          <w:iCs/>
        </w:rPr>
        <w:t>Э</w:t>
      </w:r>
      <w:r>
        <w:rPr>
          <w:b/>
          <w:bCs/>
          <w:i/>
          <w:iCs/>
        </w:rPr>
        <w:t xml:space="preserve">митент осуществляет основную деятельность, и результатов деятельности </w:t>
      </w:r>
      <w:r w:rsidR="009E7AD9">
        <w:rPr>
          <w:b/>
          <w:bCs/>
          <w:i/>
          <w:iCs/>
        </w:rPr>
        <w:t>Э</w:t>
      </w:r>
      <w:r>
        <w:rPr>
          <w:b/>
          <w:bCs/>
          <w:i/>
          <w:iCs/>
        </w:rPr>
        <w:t xml:space="preserve">митента, в том числе его планов, вероятности наступления определенных событий и совершения определенных действий. Инвесторы не должны полностью полагаться на оценки и прогнозы органов управления </w:t>
      </w:r>
      <w:r w:rsidR="009E7AD9">
        <w:rPr>
          <w:b/>
          <w:bCs/>
          <w:i/>
          <w:iCs/>
        </w:rPr>
        <w:t>Э</w:t>
      </w:r>
      <w:r>
        <w:rPr>
          <w:b/>
          <w:bCs/>
          <w:i/>
          <w:iCs/>
        </w:rPr>
        <w:t xml:space="preserve">митента, так как фактические результаты деятельности </w:t>
      </w:r>
      <w:r w:rsidR="009E7AD9">
        <w:rPr>
          <w:b/>
          <w:bCs/>
          <w:i/>
          <w:iCs/>
        </w:rPr>
        <w:t xml:space="preserve">Эмитента </w:t>
      </w:r>
      <w:r>
        <w:rPr>
          <w:b/>
          <w:bCs/>
          <w:i/>
          <w:iCs/>
        </w:rPr>
        <w:t xml:space="preserve">в будущем могут отличаться от прогнозируемых результатов по многим причинам. Приобретение ценных бумаг </w:t>
      </w:r>
      <w:r w:rsidR="009E7AD9">
        <w:rPr>
          <w:b/>
          <w:bCs/>
          <w:i/>
          <w:iCs/>
        </w:rPr>
        <w:t xml:space="preserve">Эмитента </w:t>
      </w:r>
      <w:r>
        <w:rPr>
          <w:b/>
          <w:bCs/>
          <w:i/>
          <w:iCs/>
        </w:rPr>
        <w:t>связано с рисками, описанными в настоящем проспекте ценных бумаг.».</w:t>
      </w:r>
    </w:p>
    <w:p w:rsidR="005E0AC2" w:rsidRDefault="005E0AC2" w:rsidP="005E0AC2">
      <w:pPr>
        <w:widowControl/>
        <w:autoSpaceDE/>
        <w:adjustRightInd/>
        <w:spacing w:before="0" w:after="200" w:line="276" w:lineRule="auto"/>
        <w:rPr>
          <w:rFonts w:eastAsiaTheme="minorHAnsi"/>
          <w:lang w:eastAsia="en-US"/>
        </w:rPr>
      </w:pPr>
      <w:r>
        <w:br w:type="page"/>
      </w:r>
    </w:p>
    <w:p w:rsidR="005E0AC2" w:rsidRPr="0084438E" w:rsidRDefault="005E0AC2" w:rsidP="005E0AC2">
      <w:pPr>
        <w:pStyle w:val="ConsPlusNormal"/>
        <w:ind w:firstLine="540"/>
        <w:jc w:val="both"/>
        <w:outlineLvl w:val="0"/>
        <w:rPr>
          <w:b/>
          <w:sz w:val="32"/>
          <w:szCs w:val="32"/>
        </w:rPr>
      </w:pPr>
      <w:bookmarkStart w:id="5" w:name="Par10"/>
      <w:bookmarkStart w:id="6" w:name="_Toc448251112"/>
      <w:bookmarkEnd w:id="5"/>
      <w:r w:rsidRPr="0084438E">
        <w:rPr>
          <w:b/>
          <w:sz w:val="32"/>
          <w:szCs w:val="32"/>
        </w:rPr>
        <w:t>Раздел I. Сведения о банковских счетах, об аудиторе (аудиторской организации), оценщике и о финансовом консультанте эмитента, а также об иных лицах, подписавших проспект ценных бумаг</w:t>
      </w:r>
      <w:bookmarkEnd w:id="6"/>
    </w:p>
    <w:p w:rsidR="005E0AC2" w:rsidRDefault="005E0AC2" w:rsidP="005E0AC2">
      <w:pPr>
        <w:pStyle w:val="ConsPlusNormal"/>
        <w:jc w:val="both"/>
        <w:rPr>
          <w:rFonts w:ascii="Times New Roman" w:hAnsi="Times New Roman" w:cs="Times New Roman"/>
        </w:rPr>
      </w:pPr>
    </w:p>
    <w:p w:rsidR="005E0AC2" w:rsidRPr="008A766F" w:rsidRDefault="005E0AC2" w:rsidP="005E0AC2">
      <w:pPr>
        <w:pStyle w:val="ConsPlusNormal"/>
        <w:ind w:firstLine="540"/>
        <w:jc w:val="both"/>
        <w:outlineLvl w:val="1"/>
        <w:rPr>
          <w:b/>
          <w:i/>
          <w:sz w:val="28"/>
          <w:szCs w:val="28"/>
        </w:rPr>
      </w:pPr>
      <w:bookmarkStart w:id="7" w:name="_Toc448251113"/>
      <w:r w:rsidRPr="008A766F">
        <w:rPr>
          <w:b/>
          <w:i/>
          <w:sz w:val="28"/>
          <w:szCs w:val="28"/>
        </w:rPr>
        <w:t>1.1. Сведения о банковских счетах эмитента</w:t>
      </w:r>
      <w:bookmarkEnd w:id="7"/>
    </w:p>
    <w:p w:rsidR="005E0AC2" w:rsidRDefault="005E0AC2" w:rsidP="005E0AC2">
      <w:pPr>
        <w:pStyle w:val="ConsPlusNormal"/>
        <w:ind w:firstLine="540"/>
        <w:jc w:val="both"/>
        <w:rPr>
          <w:rFonts w:ascii="Times New Roman" w:hAnsi="Times New Roman" w:cs="Times New Roman"/>
        </w:rPr>
      </w:pPr>
    </w:p>
    <w:p w:rsidR="00A23F05" w:rsidRPr="00A23F05" w:rsidRDefault="00A23F05" w:rsidP="00A23F05">
      <w:pPr>
        <w:pStyle w:val="ConsPlusNormal"/>
        <w:ind w:firstLine="540"/>
        <w:jc w:val="both"/>
        <w:rPr>
          <w:b/>
          <w:bCs/>
          <w:i/>
          <w:iCs/>
        </w:rPr>
      </w:pPr>
      <w:r w:rsidRPr="00A23F05">
        <w:rPr>
          <w:b/>
          <w:bCs/>
          <w:i/>
          <w:iCs/>
        </w:rPr>
        <w:t xml:space="preserve">В соответствии с пунктом </w:t>
      </w:r>
      <w:r>
        <w:rPr>
          <w:b/>
          <w:bCs/>
          <w:i/>
          <w:iCs/>
        </w:rPr>
        <w:t>8.10. Положения Банка России от</w:t>
      </w:r>
      <w:r w:rsidRPr="00A23F05">
        <w:rPr>
          <w:b/>
          <w:bCs/>
          <w:i/>
          <w:iCs/>
        </w:rPr>
        <w:t xml:space="preserve"> 30 </w:t>
      </w:r>
      <w:r>
        <w:rPr>
          <w:b/>
          <w:bCs/>
          <w:i/>
          <w:iCs/>
        </w:rPr>
        <w:t>декабря 2014 года №</w:t>
      </w:r>
      <w:r w:rsidRPr="00A23F05">
        <w:rPr>
          <w:b/>
          <w:bCs/>
          <w:i/>
          <w:iCs/>
        </w:rPr>
        <w:t xml:space="preserve">454-П «О раскрытии информации эмитентами эмиссионных ценных бумаг» </w:t>
      </w:r>
      <w:r w:rsidR="007F45AE">
        <w:rPr>
          <w:b/>
          <w:bCs/>
          <w:i/>
          <w:iCs/>
        </w:rPr>
        <w:t>(далее</w:t>
      </w:r>
      <w:r w:rsidR="001B7776">
        <w:rPr>
          <w:b/>
          <w:bCs/>
          <w:i/>
          <w:iCs/>
        </w:rPr>
        <w:t xml:space="preserve"> </w:t>
      </w:r>
      <w:r w:rsidR="007F45AE">
        <w:rPr>
          <w:b/>
          <w:bCs/>
          <w:i/>
          <w:iCs/>
        </w:rPr>
        <w:t>– «Положение о раскрытии»)</w:t>
      </w:r>
      <w:r w:rsidR="007A47A2">
        <w:rPr>
          <w:b/>
          <w:bCs/>
          <w:i/>
          <w:iCs/>
        </w:rPr>
        <w:t>,</w:t>
      </w:r>
      <w:r w:rsidR="007F45AE">
        <w:rPr>
          <w:b/>
          <w:bCs/>
          <w:i/>
          <w:iCs/>
        </w:rPr>
        <w:t xml:space="preserve"> </w:t>
      </w:r>
      <w:r w:rsidRPr="00A23F05">
        <w:rPr>
          <w:b/>
          <w:bCs/>
          <w:i/>
          <w:iCs/>
        </w:rPr>
        <w:t xml:space="preserve">информация по данному пункту в </w:t>
      </w:r>
      <w:r>
        <w:rPr>
          <w:b/>
          <w:bCs/>
          <w:i/>
          <w:iCs/>
        </w:rPr>
        <w:t>П</w:t>
      </w:r>
      <w:r w:rsidRPr="00A23F05">
        <w:rPr>
          <w:b/>
          <w:bCs/>
          <w:i/>
          <w:iCs/>
        </w:rPr>
        <w:t xml:space="preserve">роспект </w:t>
      </w:r>
      <w:r w:rsidR="00EA5AEC">
        <w:rPr>
          <w:b/>
          <w:bCs/>
          <w:i/>
          <w:iCs/>
        </w:rPr>
        <w:t>ценных бумаг</w:t>
      </w:r>
      <w:r w:rsidR="007A47A2">
        <w:rPr>
          <w:b/>
          <w:bCs/>
          <w:i/>
          <w:iCs/>
        </w:rPr>
        <w:t>,</w:t>
      </w:r>
      <w:r w:rsidRPr="00A23F05">
        <w:rPr>
          <w:b/>
          <w:bCs/>
          <w:i/>
          <w:iCs/>
        </w:rPr>
        <w:t xml:space="preserve"> не включается.</w:t>
      </w:r>
    </w:p>
    <w:p w:rsidR="00A23F05" w:rsidRPr="00A23F05" w:rsidRDefault="00A23F05" w:rsidP="00A23F05">
      <w:pPr>
        <w:pStyle w:val="ConsPlusNormal"/>
        <w:ind w:firstLine="540"/>
        <w:jc w:val="both"/>
        <w:rPr>
          <w:b/>
          <w:bCs/>
          <w:i/>
          <w:iCs/>
        </w:rPr>
      </w:pPr>
    </w:p>
    <w:p w:rsidR="005E0AC2" w:rsidRPr="00C90C2C" w:rsidRDefault="005E0AC2" w:rsidP="005E0AC2">
      <w:pPr>
        <w:pStyle w:val="ConsPlusNormal"/>
        <w:ind w:firstLine="540"/>
        <w:jc w:val="both"/>
        <w:outlineLvl w:val="1"/>
        <w:rPr>
          <w:b/>
          <w:i/>
          <w:sz w:val="28"/>
          <w:szCs w:val="28"/>
        </w:rPr>
      </w:pPr>
      <w:bookmarkStart w:id="8" w:name="_Toc448251114"/>
      <w:r w:rsidRPr="00C90C2C">
        <w:rPr>
          <w:b/>
          <w:i/>
          <w:sz w:val="28"/>
          <w:szCs w:val="28"/>
        </w:rPr>
        <w:t>1.2. Сведения об аудиторе (аудиторской организации) эмитента</w:t>
      </w:r>
      <w:bookmarkEnd w:id="8"/>
    </w:p>
    <w:p w:rsidR="005E0AC2" w:rsidRDefault="005E0AC2" w:rsidP="005E0AC2">
      <w:pPr>
        <w:pStyle w:val="ConsPlusNormal"/>
        <w:ind w:firstLine="540"/>
        <w:jc w:val="both"/>
        <w:rPr>
          <w:rFonts w:ascii="Times New Roman" w:hAnsi="Times New Roman" w:cs="Times New Roman"/>
        </w:rPr>
      </w:pPr>
    </w:p>
    <w:p w:rsidR="005E0AC2" w:rsidRDefault="005E0AC2" w:rsidP="005E0AC2">
      <w:pPr>
        <w:pStyle w:val="ConsPlusNormal"/>
        <w:ind w:firstLine="540"/>
        <w:jc w:val="both"/>
        <w:rPr>
          <w:rFonts w:ascii="Times New Roman" w:hAnsi="Times New Roman" w:cs="Times New Roman"/>
        </w:rPr>
      </w:pPr>
      <w:r>
        <w:rPr>
          <w:rFonts w:ascii="Times New Roman" w:hAnsi="Times New Roman" w:cs="Times New Roman"/>
        </w:rPr>
        <w:t>В отношении аудитора (аудиторской организации), осуществившего (осуществившей) независимую проверку бухгалтерской (финансовой) отчетности эмитента, а также консолидированной финансовой отчетности эмитента, входящей в состав проспекта ценных бумаг, за три последних завершенных отчетных года или за каждый завершенный отчетный год, если эмитент осуществляет свою деятельность менее трех лет, а в случае, если срок представления бухгалтерской (финансовой) отчетности эмитента за первый отчетный год еще не истек, - осуществившего независимую проверку вступительной бухгалтерской (финансовой) отчетности эмитента или квартальной бухгалтерской (финансовой) отчетности эмитента (если на дату утверждения проспекта ценных бумаг истек установленный срок представления квартальной бухгалтерской (финансовой) отчетности эмитента либо такая квартальная бухгалтерская (финансовая) отчетность эмитента составлена до истечения указанного срока), и составившего (составившей) соответствующие аудиторские заключения, содержащиеся в проспекте ценных бумаг, указываются:</w:t>
      </w:r>
    </w:p>
    <w:p w:rsidR="005E0AC2" w:rsidRDefault="005E0AC2" w:rsidP="005E0AC2">
      <w:pPr>
        <w:ind w:firstLine="567"/>
        <w:jc w:val="both"/>
        <w:rPr>
          <w:rStyle w:val="Subst"/>
          <w:rFonts w:ascii="Arial" w:eastAsiaTheme="minorHAnsi" w:hAnsi="Arial" w:cs="Arial"/>
          <w:bCs/>
          <w:iCs/>
          <w:lang w:eastAsia="en-US"/>
        </w:rPr>
      </w:pPr>
      <w:r>
        <w:t xml:space="preserve">1. полное фирменное наименование аудиторской организации: </w:t>
      </w:r>
      <w:r>
        <w:rPr>
          <w:rStyle w:val="Subst"/>
          <w:rFonts w:ascii="Arial" w:eastAsiaTheme="minorHAnsi" w:hAnsi="Arial" w:cs="Arial"/>
          <w:bCs/>
          <w:iCs/>
          <w:lang w:eastAsia="en-US"/>
        </w:rPr>
        <w:t>Закрытое акционерное общество «Аудиторская Компания Институт Проблем Предпринимательства»</w:t>
      </w:r>
    </w:p>
    <w:p w:rsidR="005E0AC2" w:rsidRDefault="005E0AC2" w:rsidP="005E0AC2">
      <w:pPr>
        <w:ind w:firstLine="567"/>
        <w:jc w:val="both"/>
      </w:pPr>
      <w:r>
        <w:t xml:space="preserve">сокращенное фирменное наименование аудиторской организации: </w:t>
      </w:r>
      <w:r>
        <w:rPr>
          <w:rStyle w:val="Subst"/>
          <w:rFonts w:ascii="Arial" w:eastAsiaTheme="minorHAnsi" w:hAnsi="Arial" w:cs="Arial"/>
          <w:bCs/>
          <w:iCs/>
          <w:lang w:eastAsia="en-US"/>
        </w:rPr>
        <w:t>ЗАО «АК ИПП»</w:t>
      </w:r>
    </w:p>
    <w:p w:rsidR="005E0AC2" w:rsidRDefault="005E0AC2" w:rsidP="005E0AC2">
      <w:pPr>
        <w:ind w:firstLine="567"/>
        <w:jc w:val="both"/>
        <w:rPr>
          <w:rStyle w:val="Subst"/>
          <w:rFonts w:ascii="Arial" w:eastAsiaTheme="minorHAnsi" w:hAnsi="Arial" w:cs="Arial"/>
          <w:bCs/>
          <w:iCs/>
          <w:lang w:eastAsia="en-US"/>
        </w:rPr>
      </w:pPr>
      <w:r>
        <w:t xml:space="preserve">ИНН (если применимо): </w:t>
      </w:r>
      <w:r>
        <w:rPr>
          <w:rStyle w:val="Subst"/>
          <w:rFonts w:ascii="Arial" w:eastAsiaTheme="minorHAnsi" w:hAnsi="Arial" w:cs="Arial"/>
          <w:bCs/>
          <w:iCs/>
          <w:lang w:eastAsia="en-US"/>
        </w:rPr>
        <w:t>7808033112</w:t>
      </w:r>
    </w:p>
    <w:p w:rsidR="005E0AC2" w:rsidRDefault="005E0AC2" w:rsidP="005E0AC2">
      <w:pPr>
        <w:ind w:firstLine="567"/>
        <w:jc w:val="both"/>
        <w:rPr>
          <w:rStyle w:val="Subst"/>
          <w:rFonts w:ascii="Arial" w:eastAsiaTheme="minorHAnsi" w:hAnsi="Arial" w:cs="Arial"/>
          <w:bCs/>
          <w:iCs/>
          <w:lang w:eastAsia="en-US"/>
        </w:rPr>
      </w:pPr>
      <w:r>
        <w:t xml:space="preserve">ОГРН (если применимо): </w:t>
      </w:r>
      <w:r>
        <w:rPr>
          <w:rStyle w:val="Subst"/>
          <w:rFonts w:ascii="Arial" w:eastAsiaTheme="minorHAnsi" w:hAnsi="Arial" w:cs="Arial"/>
          <w:bCs/>
          <w:iCs/>
          <w:lang w:eastAsia="en-US"/>
        </w:rPr>
        <w:t>1027809211210</w:t>
      </w:r>
    </w:p>
    <w:p w:rsidR="005E0AC2" w:rsidRDefault="005E0AC2" w:rsidP="005E0AC2">
      <w:pPr>
        <w:pStyle w:val="ConsPlusNormal"/>
        <w:ind w:firstLine="567"/>
        <w:jc w:val="both"/>
        <w:rPr>
          <w:rStyle w:val="Subst"/>
          <w:bCs/>
          <w:iCs/>
        </w:rPr>
      </w:pPr>
      <w:r>
        <w:rPr>
          <w:rFonts w:ascii="Times New Roman" w:hAnsi="Times New Roman" w:cs="Times New Roman"/>
        </w:rPr>
        <w:t xml:space="preserve">место нахождения аудиторской организации: </w:t>
      </w:r>
      <w:r>
        <w:rPr>
          <w:rStyle w:val="Subst"/>
          <w:bCs/>
          <w:iCs/>
        </w:rPr>
        <w:t>191123, Санкт-Петербург, Шпалерная ул., д. 24, пом. 59-А</w:t>
      </w:r>
    </w:p>
    <w:p w:rsidR="005E0AC2" w:rsidRDefault="005E0AC2" w:rsidP="005E0AC2">
      <w:pPr>
        <w:ind w:firstLine="567"/>
        <w:jc w:val="both"/>
      </w:pPr>
      <w:r>
        <w:t xml:space="preserve">номер телефона и факса: </w:t>
      </w:r>
      <w:r>
        <w:rPr>
          <w:rStyle w:val="Subst"/>
          <w:rFonts w:ascii="Arial" w:eastAsiaTheme="minorHAnsi" w:hAnsi="Arial" w:cs="Arial"/>
          <w:bCs/>
          <w:iCs/>
          <w:lang w:eastAsia="en-US"/>
        </w:rPr>
        <w:t>(812) 703-4041/ (812) 703-3008</w:t>
      </w:r>
    </w:p>
    <w:p w:rsidR="005E0AC2" w:rsidRDefault="005E0AC2" w:rsidP="005E0AC2">
      <w:pPr>
        <w:ind w:firstLine="567"/>
        <w:jc w:val="both"/>
        <w:rPr>
          <w:rStyle w:val="Subst"/>
          <w:rFonts w:ascii="Arial" w:eastAsiaTheme="minorHAnsi" w:hAnsi="Arial" w:cs="Arial"/>
          <w:bCs/>
          <w:iCs/>
          <w:lang w:eastAsia="en-US"/>
        </w:rPr>
      </w:pPr>
      <w:r>
        <w:t xml:space="preserve">адрес электронной почты (если имеется): </w:t>
      </w:r>
      <w:r>
        <w:rPr>
          <w:rStyle w:val="Subst"/>
          <w:rFonts w:ascii="Arial" w:eastAsiaTheme="minorHAnsi" w:hAnsi="Arial" w:cs="Arial"/>
          <w:bCs/>
          <w:iCs/>
          <w:lang w:eastAsia="en-US"/>
        </w:rPr>
        <w:t>mail@ipp.spb.ru</w:t>
      </w:r>
    </w:p>
    <w:p w:rsidR="005E0AC2" w:rsidRDefault="005E0AC2" w:rsidP="005E0AC2">
      <w:pPr>
        <w:ind w:firstLine="567"/>
        <w:jc w:val="both"/>
      </w:pPr>
      <w:r>
        <w:t xml:space="preserve">полное наименование саморегулируемой организации аудиторов, членом которой является (являлся) аудитор (аудиторская организация) эмитента: </w:t>
      </w:r>
      <w:r>
        <w:rPr>
          <w:rStyle w:val="Subst"/>
          <w:rFonts w:ascii="Arial" w:eastAsiaTheme="minorHAnsi" w:hAnsi="Arial" w:cs="Arial"/>
          <w:lang w:eastAsia="en-US"/>
        </w:rPr>
        <w:t>Саморегулируемая организация аудиторов</w:t>
      </w:r>
      <w:r>
        <w:rPr>
          <w:b/>
          <w:bCs/>
          <w:i/>
          <w:iCs/>
        </w:rPr>
        <w:t xml:space="preserve"> </w:t>
      </w:r>
      <w:r>
        <w:rPr>
          <w:rStyle w:val="Subst"/>
          <w:rFonts w:ascii="Arial" w:eastAsiaTheme="minorHAnsi" w:hAnsi="Arial" w:cs="Arial"/>
          <w:bCs/>
          <w:iCs/>
          <w:lang w:eastAsia="en-US"/>
        </w:rPr>
        <w:t>Некоммерческое партнёрство «Институт профессиональных аудиторов»</w:t>
      </w:r>
    </w:p>
    <w:p w:rsidR="005E0AC2" w:rsidRDefault="005E0AC2" w:rsidP="005E0AC2">
      <w:pPr>
        <w:ind w:firstLine="567"/>
        <w:jc w:val="both"/>
        <w:rPr>
          <w:rStyle w:val="Subst"/>
          <w:rFonts w:ascii="Arial" w:eastAsiaTheme="minorHAnsi" w:hAnsi="Arial" w:cs="Arial"/>
          <w:bCs/>
          <w:iCs/>
          <w:lang w:eastAsia="en-US"/>
        </w:rPr>
      </w:pPr>
      <w:r>
        <w:t xml:space="preserve">место нахождения саморегулируемой организации аудиторов, членом которой является (являлся) аудитор (аудиторская организация) эмитента: </w:t>
      </w:r>
      <w:r>
        <w:rPr>
          <w:rStyle w:val="Subst"/>
          <w:rFonts w:ascii="Arial" w:eastAsiaTheme="minorHAnsi" w:hAnsi="Arial" w:cs="Arial"/>
          <w:bCs/>
          <w:iCs/>
          <w:lang w:eastAsia="en-US"/>
        </w:rPr>
        <w:t>117420</w:t>
      </w:r>
      <w:r w:rsidR="004E2409">
        <w:rPr>
          <w:rStyle w:val="Subst"/>
          <w:rFonts w:ascii="Arial" w:eastAsiaTheme="minorHAnsi" w:hAnsi="Arial" w:cs="Arial"/>
          <w:bCs/>
          <w:iCs/>
          <w:lang w:eastAsia="en-US"/>
        </w:rPr>
        <w:t>,</w:t>
      </w:r>
      <w:r>
        <w:rPr>
          <w:rStyle w:val="Subst"/>
          <w:rFonts w:ascii="Arial" w:eastAsiaTheme="minorHAnsi" w:hAnsi="Arial" w:cs="Arial"/>
          <w:bCs/>
          <w:iCs/>
          <w:lang w:eastAsia="en-US"/>
        </w:rPr>
        <w:t xml:space="preserve"> Россия, Москва, Наметкина</w:t>
      </w:r>
      <w:r w:rsidR="007D51B0">
        <w:rPr>
          <w:rStyle w:val="Subst"/>
          <w:rFonts w:ascii="Arial" w:eastAsiaTheme="minorHAnsi" w:hAnsi="Arial" w:cs="Arial"/>
          <w:bCs/>
          <w:iCs/>
          <w:lang w:eastAsia="en-US"/>
        </w:rPr>
        <w:t>,</w:t>
      </w:r>
      <w:r>
        <w:rPr>
          <w:rStyle w:val="Subst"/>
          <w:rFonts w:ascii="Arial" w:eastAsiaTheme="minorHAnsi" w:hAnsi="Arial" w:cs="Arial"/>
          <w:bCs/>
          <w:iCs/>
          <w:lang w:eastAsia="en-US"/>
        </w:rPr>
        <w:t xml:space="preserve"> 14 корп. 1</w:t>
      </w:r>
    </w:p>
    <w:p w:rsidR="005E0AC2" w:rsidRDefault="005E0AC2" w:rsidP="005E0AC2">
      <w:pPr>
        <w:pStyle w:val="ConsPlusNormal"/>
        <w:ind w:firstLine="567"/>
        <w:jc w:val="both"/>
        <w:rPr>
          <w:rFonts w:ascii="Times New Roman" w:hAnsi="Times New Roman" w:cs="Times New Roman"/>
        </w:rPr>
      </w:pPr>
      <w:r>
        <w:rPr>
          <w:rFonts w:ascii="Times New Roman" w:hAnsi="Times New Roman" w:cs="Times New Roman"/>
        </w:rPr>
        <w:t xml:space="preserve">отчетный год (годы) из числа последних трех завершенных отчетных лет или иной отчетный период, за который (за которые) аудитором (аудиторской организацией) проводилась независимая проверка отчетности эмитента: </w:t>
      </w:r>
      <w:r>
        <w:rPr>
          <w:rStyle w:val="Subst"/>
        </w:rPr>
        <w:t>2013, 2014 и 2015 годы</w:t>
      </w:r>
    </w:p>
    <w:p w:rsidR="002870EF" w:rsidRDefault="005E0AC2" w:rsidP="005E0AC2">
      <w:pPr>
        <w:pStyle w:val="ConsPlusNormal"/>
        <w:ind w:firstLine="567"/>
        <w:jc w:val="both"/>
        <w:rPr>
          <w:rFonts w:ascii="Times New Roman" w:hAnsi="Times New Roman" w:cs="Times New Roman"/>
        </w:rPr>
      </w:pPr>
      <w:r>
        <w:rPr>
          <w:rFonts w:ascii="Times New Roman" w:hAnsi="Times New Roman" w:cs="Times New Roman"/>
        </w:rPr>
        <w:t xml:space="preserve">вид бухгалтерской (финансовой) отчетности эмитента, в отношении которой аудитором (аудиторской организацией) проводилась независимая проверка (бухгалтерская (финансовая) отчетность, консолидированная финансовая отчетность): </w:t>
      </w:r>
    </w:p>
    <w:p w:rsidR="005E0AC2" w:rsidRDefault="005E0AC2" w:rsidP="001B7776">
      <w:pPr>
        <w:pStyle w:val="ConsPlusNormal"/>
        <w:numPr>
          <w:ilvl w:val="0"/>
          <w:numId w:val="1"/>
        </w:numPr>
        <w:ind w:left="0" w:firstLine="567"/>
        <w:jc w:val="both"/>
        <w:rPr>
          <w:b/>
          <w:bCs/>
          <w:i/>
          <w:iCs/>
        </w:rPr>
      </w:pPr>
      <w:r>
        <w:rPr>
          <w:b/>
          <w:bCs/>
          <w:i/>
          <w:iCs/>
        </w:rPr>
        <w:t>бухгалтерск</w:t>
      </w:r>
      <w:r w:rsidR="002870EF">
        <w:rPr>
          <w:b/>
          <w:bCs/>
          <w:i/>
          <w:iCs/>
        </w:rPr>
        <w:t>ая</w:t>
      </w:r>
      <w:r>
        <w:rPr>
          <w:b/>
          <w:bCs/>
          <w:i/>
          <w:iCs/>
        </w:rPr>
        <w:t xml:space="preserve"> (</w:t>
      </w:r>
      <w:r w:rsidR="002870EF">
        <w:rPr>
          <w:b/>
          <w:bCs/>
          <w:i/>
          <w:iCs/>
        </w:rPr>
        <w:t>финансовая</w:t>
      </w:r>
      <w:r>
        <w:rPr>
          <w:b/>
          <w:bCs/>
          <w:i/>
          <w:iCs/>
        </w:rPr>
        <w:t xml:space="preserve">) </w:t>
      </w:r>
      <w:r w:rsidR="002870EF">
        <w:rPr>
          <w:b/>
          <w:bCs/>
          <w:i/>
          <w:iCs/>
        </w:rPr>
        <w:t>отчетность</w:t>
      </w:r>
      <w:r>
        <w:rPr>
          <w:b/>
          <w:bCs/>
          <w:i/>
          <w:iCs/>
        </w:rPr>
        <w:t xml:space="preserve">, </w:t>
      </w:r>
      <w:r w:rsidR="002870EF">
        <w:rPr>
          <w:b/>
          <w:bCs/>
          <w:i/>
          <w:iCs/>
        </w:rPr>
        <w:t xml:space="preserve">составленная </w:t>
      </w:r>
      <w:r>
        <w:rPr>
          <w:b/>
          <w:bCs/>
          <w:i/>
          <w:iCs/>
        </w:rPr>
        <w:t xml:space="preserve">в соответствии с </w:t>
      </w:r>
      <w:r w:rsidR="002870EF">
        <w:rPr>
          <w:b/>
          <w:bCs/>
          <w:i/>
          <w:iCs/>
        </w:rPr>
        <w:t xml:space="preserve">Российскими </w:t>
      </w:r>
      <w:r>
        <w:rPr>
          <w:b/>
          <w:bCs/>
          <w:i/>
          <w:iCs/>
        </w:rPr>
        <w:t>стандартами бухгалтерского учета (РСБУ).</w:t>
      </w:r>
    </w:p>
    <w:p w:rsidR="005E0AC2" w:rsidRDefault="005E0AC2" w:rsidP="005E0AC2">
      <w:pPr>
        <w:pStyle w:val="ConsPlusNormal"/>
        <w:ind w:firstLine="567"/>
        <w:jc w:val="both"/>
        <w:rPr>
          <w:b/>
          <w:bCs/>
          <w:i/>
          <w:iCs/>
        </w:rPr>
      </w:pPr>
      <w:r>
        <w:rPr>
          <w:rFonts w:ascii="Times New Roman" w:hAnsi="Times New Roman" w:cs="Times New Roman"/>
        </w:rPr>
        <w:t xml:space="preserve">В случае если аудитором (аудиторской организацией) проводилась независимая проверка вступительной бухгалтерской (финансовой) отчетности эмитента или квартальной бухгалтерской (финансовой) отчетности эмитента, дополнительно указывается на это обстоятельство, а также приводится период (периоды) из числа последних трех завершенных отчетных лет и текущего года, отчетность эмитента за который (которые) проверялась аудитором (аудиторской организацией): </w:t>
      </w:r>
      <w:r>
        <w:rPr>
          <w:b/>
          <w:bCs/>
          <w:i/>
          <w:iCs/>
        </w:rPr>
        <w:t>не проводилась</w:t>
      </w:r>
    </w:p>
    <w:p w:rsidR="005E0AC2" w:rsidRDefault="005E0AC2" w:rsidP="005E0AC2">
      <w:pPr>
        <w:pStyle w:val="ConsPlusNormal"/>
        <w:ind w:firstLine="540"/>
        <w:jc w:val="both"/>
        <w:rPr>
          <w:rFonts w:ascii="Times New Roman" w:hAnsi="Times New Roman" w:cs="Times New Roman"/>
        </w:rPr>
      </w:pPr>
      <w:r>
        <w:rPr>
          <w:rFonts w:ascii="Times New Roman" w:hAnsi="Times New Roman" w:cs="Times New Roman"/>
        </w:rPr>
        <w:t>Описываются факторы, которые могут оказать влияние на независимость аудитора (аудиторской организации) от эмитента, в том числе указывается информация о наличии существенных интересов, связывающих аудитора (лиц, занимающих должности в органах управления и органах контроля за финансово-хозяйственной деятельностью аудиторской организации) с эмитентом (лицами, занимающими должности в органах управления и органах контроля за финансово-хозяйственной деятельностью эмитента):</w:t>
      </w:r>
    </w:p>
    <w:p w:rsidR="005E0AC2" w:rsidRDefault="005E0AC2" w:rsidP="005E0AC2">
      <w:pPr>
        <w:pStyle w:val="ConsPlusNormal"/>
        <w:ind w:firstLine="540"/>
        <w:jc w:val="both"/>
        <w:rPr>
          <w:b/>
          <w:bCs/>
          <w:i/>
          <w:iCs/>
        </w:rPr>
      </w:pPr>
      <w:r>
        <w:rPr>
          <w:rFonts w:ascii="Times New Roman" w:hAnsi="Times New Roman" w:cs="Times New Roman"/>
        </w:rPr>
        <w:t xml:space="preserve">наличие долей участия аудитора (лиц, занимающих должности в органах управления и органах контроля за финансово-хозяйственной деятельностью аудиторской организации) в уставном капитале эмитента: </w:t>
      </w:r>
      <w:r>
        <w:rPr>
          <w:b/>
          <w:bCs/>
          <w:i/>
          <w:iCs/>
        </w:rPr>
        <w:t>долей не имеет;</w:t>
      </w:r>
    </w:p>
    <w:p w:rsidR="005E0AC2" w:rsidRDefault="005E0AC2" w:rsidP="005E0AC2">
      <w:pPr>
        <w:pStyle w:val="ConsPlusNormal"/>
        <w:ind w:firstLine="540"/>
        <w:jc w:val="both"/>
        <w:rPr>
          <w:b/>
          <w:bCs/>
          <w:i/>
          <w:iCs/>
        </w:rPr>
      </w:pPr>
      <w:r>
        <w:rPr>
          <w:rFonts w:ascii="Times New Roman" w:hAnsi="Times New Roman" w:cs="Times New Roman"/>
        </w:rPr>
        <w:t xml:space="preserve">предоставление эмитентом заемных средств аудитору (лицам, занимающим должности в органах управления и органах контроля за финансово-хозяйственной деятельностью аудиторской организации): </w:t>
      </w:r>
      <w:r>
        <w:rPr>
          <w:b/>
          <w:bCs/>
          <w:i/>
          <w:iCs/>
        </w:rPr>
        <w:t>Заемные средства аудитору (должностным лицам аудитора) не предоставлялись;</w:t>
      </w:r>
    </w:p>
    <w:p w:rsidR="005E0AC2" w:rsidRDefault="005E0AC2" w:rsidP="005E0AC2">
      <w:pPr>
        <w:pStyle w:val="ConsPlusNormal"/>
        <w:ind w:firstLine="540"/>
        <w:jc w:val="both"/>
        <w:rPr>
          <w:rFonts w:ascii="Times New Roman" w:hAnsi="Times New Roman" w:cs="Times New Roman"/>
        </w:rPr>
      </w:pPr>
      <w:r>
        <w:rPr>
          <w:rFonts w:ascii="Times New Roman" w:hAnsi="Times New Roman" w:cs="Times New Roman"/>
        </w:rPr>
        <w:t xml:space="preserve">наличие тесных деловых взаимоотношений (участие в продвижении продукции (услуг) эмитента, участие в совместной предпринимательской деятельности и т.д.), а также родственных связей: </w:t>
      </w:r>
      <w:r w:rsidRPr="004E2409">
        <w:rPr>
          <w:b/>
          <w:i/>
        </w:rPr>
        <w:t>у</w:t>
      </w:r>
      <w:r>
        <w:rPr>
          <w:b/>
          <w:bCs/>
          <w:i/>
          <w:iCs/>
        </w:rPr>
        <w:t>казанных взаимоотношений и связей нет;</w:t>
      </w:r>
    </w:p>
    <w:p w:rsidR="005E0AC2" w:rsidRDefault="005E0AC2" w:rsidP="005E0AC2">
      <w:pPr>
        <w:pStyle w:val="ConsPlusNormal"/>
        <w:ind w:firstLine="540"/>
        <w:jc w:val="both"/>
        <w:rPr>
          <w:rFonts w:ascii="Times New Roman" w:hAnsi="Times New Roman" w:cs="Times New Roman"/>
        </w:rPr>
      </w:pPr>
      <w:r>
        <w:rPr>
          <w:rFonts w:ascii="Times New Roman" w:hAnsi="Times New Roman" w:cs="Times New Roman"/>
        </w:rPr>
        <w:t xml:space="preserve">сведения о лицах, занимающих должности в органах управления и (или) органах контроля за финансово-хозяйственной деятельностью эмитента, которые одновременно занимают должности в органах управления и (или) органах контроля за финансово-хозяйственной деятельностью аудиторской организации: </w:t>
      </w:r>
      <w:r>
        <w:rPr>
          <w:b/>
          <w:bCs/>
          <w:i/>
          <w:iCs/>
        </w:rPr>
        <w:t>должностных лиц Эмитента, являющихся одновременно должностными лицами аудитора (аудитором), нет.</w:t>
      </w:r>
    </w:p>
    <w:p w:rsidR="005E0AC2" w:rsidRDefault="005E0AC2" w:rsidP="005E0AC2">
      <w:pPr>
        <w:pStyle w:val="ConsPlusNormal"/>
        <w:ind w:firstLine="540"/>
        <w:jc w:val="both"/>
        <w:rPr>
          <w:b/>
          <w:bCs/>
          <w:i/>
          <w:iCs/>
        </w:rPr>
      </w:pPr>
      <w:r>
        <w:rPr>
          <w:b/>
          <w:bCs/>
          <w:i/>
          <w:iCs/>
        </w:rPr>
        <w:t>Существенные интересы, связывающие аудитора (должностных лиц аудитора) с Эмитентом (должностными лицами Эмитента), отсутствуют.</w:t>
      </w:r>
    </w:p>
    <w:p w:rsidR="005E0AC2" w:rsidRDefault="005E0AC2" w:rsidP="005E0AC2">
      <w:pPr>
        <w:pStyle w:val="ConsPlusNormal"/>
        <w:ind w:firstLine="540"/>
        <w:jc w:val="both"/>
        <w:rPr>
          <w:rFonts w:ascii="Times New Roman" w:hAnsi="Times New Roman" w:cs="Times New Roman"/>
        </w:rPr>
      </w:pPr>
    </w:p>
    <w:p w:rsidR="005E0AC2" w:rsidRDefault="005E0AC2" w:rsidP="005E0AC2">
      <w:pPr>
        <w:pStyle w:val="ConsPlusNormal"/>
        <w:ind w:firstLine="540"/>
        <w:jc w:val="both"/>
        <w:rPr>
          <w:rFonts w:ascii="Times New Roman" w:hAnsi="Times New Roman" w:cs="Times New Roman"/>
        </w:rPr>
      </w:pPr>
      <w:r>
        <w:rPr>
          <w:rFonts w:ascii="Times New Roman" w:hAnsi="Times New Roman" w:cs="Times New Roman"/>
        </w:rPr>
        <w:t>Указываются меры, предпринятые эмитентом и аудитором (аудиторской организацией) для снижения влияния указанных факторов:</w:t>
      </w:r>
    </w:p>
    <w:p w:rsidR="007A47A2" w:rsidRDefault="007A47A2" w:rsidP="005E0AC2">
      <w:pPr>
        <w:pStyle w:val="ConsPlusNormal"/>
        <w:ind w:firstLine="540"/>
        <w:jc w:val="both"/>
        <w:rPr>
          <w:b/>
          <w:bCs/>
          <w:i/>
          <w:iCs/>
        </w:rPr>
      </w:pPr>
    </w:p>
    <w:p w:rsidR="005E0AC2" w:rsidRDefault="005E0AC2" w:rsidP="005E0AC2">
      <w:pPr>
        <w:pStyle w:val="ConsPlusNormal"/>
        <w:ind w:firstLine="540"/>
        <w:jc w:val="both"/>
        <w:rPr>
          <w:b/>
          <w:bCs/>
          <w:i/>
          <w:iCs/>
        </w:rPr>
      </w:pPr>
      <w:r>
        <w:rPr>
          <w:b/>
          <w:bCs/>
          <w:i/>
          <w:iCs/>
        </w:rPr>
        <w:t>Эмитент и аудитор действовали в рамках действующего законодательства, в частности в соответствии с Федеральным законом от 30.12.2008 N 307-ФЗ «Об аудиторской деятельности»</w:t>
      </w:r>
      <w:r w:rsidR="00692374">
        <w:rPr>
          <w:b/>
          <w:bCs/>
          <w:i/>
          <w:iCs/>
        </w:rPr>
        <w:t xml:space="preserve"> (далее – «Закон об аудиторской деятельности»)</w:t>
      </w:r>
      <w:r>
        <w:rPr>
          <w:b/>
          <w:bCs/>
          <w:i/>
          <w:iCs/>
        </w:rPr>
        <w:t>, согласно которо</w:t>
      </w:r>
      <w:r w:rsidR="00856647">
        <w:rPr>
          <w:b/>
          <w:bCs/>
          <w:i/>
          <w:iCs/>
        </w:rPr>
        <w:t>му</w:t>
      </w:r>
      <w:r>
        <w:rPr>
          <w:b/>
          <w:bCs/>
          <w:i/>
          <w:iCs/>
        </w:rPr>
        <w:t xml:space="preserve"> аудит не может осуществляться: </w:t>
      </w:r>
    </w:p>
    <w:p w:rsidR="005E0AC2" w:rsidRDefault="005E0AC2" w:rsidP="005E0AC2">
      <w:pPr>
        <w:pStyle w:val="ConsPlusNormal"/>
        <w:ind w:firstLine="540"/>
        <w:jc w:val="both"/>
        <w:rPr>
          <w:b/>
          <w:bCs/>
          <w:i/>
          <w:iCs/>
        </w:rPr>
      </w:pPr>
      <w:r>
        <w:rPr>
          <w:b/>
          <w:bCs/>
          <w:i/>
          <w:iCs/>
        </w:rPr>
        <w:t xml:space="preserve">1) аудиторскими организациями, руководители и иные должностные лица которых являются учредителями (участниками) аудируемых лиц, их должностными лицами, бухгалтерами и иными лицами, несущими ответственность за организацию и ведение бухгалтерского учета и составление бухгалтерской (финансовой) отчетности; </w:t>
      </w:r>
    </w:p>
    <w:p w:rsidR="005E0AC2" w:rsidRDefault="005E0AC2" w:rsidP="005E0AC2">
      <w:pPr>
        <w:pStyle w:val="ConsPlusNormal"/>
        <w:ind w:firstLine="540"/>
        <w:jc w:val="both"/>
        <w:rPr>
          <w:b/>
          <w:bCs/>
          <w:i/>
          <w:iCs/>
        </w:rPr>
      </w:pPr>
      <w:r>
        <w:rPr>
          <w:b/>
          <w:bCs/>
          <w:i/>
          <w:iCs/>
        </w:rPr>
        <w:t xml:space="preserve">2) аудиторскими организациями, руководители и иные должностные лица которых состоят в близком родстве (родители, супруги, братья, сестры, дети, а также братья, сестры, родители и дети супругов) с учредителями (участниками) аудируемых лиц, их должностными лицами, бухгалтерами и иными лицами, несущими ответственность за организацию и ведение бухгалтерского учета и составление бухгалтерской (финансовой) отчетности; </w:t>
      </w:r>
    </w:p>
    <w:p w:rsidR="005E0AC2" w:rsidRDefault="005E0AC2" w:rsidP="005E0AC2">
      <w:pPr>
        <w:pStyle w:val="ConsPlusNormal"/>
        <w:ind w:firstLine="540"/>
        <w:jc w:val="both"/>
        <w:rPr>
          <w:b/>
          <w:bCs/>
          <w:i/>
          <w:iCs/>
        </w:rPr>
      </w:pPr>
      <w:r>
        <w:rPr>
          <w:b/>
          <w:bCs/>
          <w:i/>
          <w:iCs/>
        </w:rPr>
        <w:t xml:space="preserve">3) аудиторскими организациями в отношении аудируемых лиц, являющихся их учредителями (участниками), в отношении аудируемых лиц, для которых эти аудиторские организации являются учредителями (участниками), в отношении дочерних обществ, филиалов и представительств указанных аудируемых лиц, а также в отношении организаций, имеющих общих с этой аудиторской организацией учредителей (участников); </w:t>
      </w:r>
    </w:p>
    <w:p w:rsidR="005E0AC2" w:rsidRDefault="005E0AC2" w:rsidP="005E0AC2">
      <w:pPr>
        <w:pStyle w:val="ConsPlusNormal"/>
        <w:ind w:firstLine="540"/>
        <w:jc w:val="both"/>
        <w:rPr>
          <w:b/>
          <w:bCs/>
          <w:i/>
          <w:iCs/>
        </w:rPr>
      </w:pPr>
      <w:r>
        <w:rPr>
          <w:b/>
          <w:bCs/>
          <w:i/>
          <w:iCs/>
        </w:rPr>
        <w:t xml:space="preserve">4) аудиторскими организациями, индивидуальными аудиторами, оказывавшими в течение трех лет, непосредственно предшествовавших проведению аудита, услуги по восстановлению и ведению бухгалтерского учета, а также по составлению бухгалтерской (финансовой) отчетности физическим и юридическим лицам, в отношении этих лиц; </w:t>
      </w:r>
    </w:p>
    <w:p w:rsidR="005E0AC2" w:rsidRDefault="005E0AC2" w:rsidP="005E0AC2">
      <w:pPr>
        <w:pStyle w:val="ConsPlusNormal"/>
        <w:ind w:firstLine="540"/>
        <w:jc w:val="both"/>
        <w:rPr>
          <w:b/>
          <w:bCs/>
          <w:i/>
          <w:iCs/>
        </w:rPr>
      </w:pPr>
      <w:r>
        <w:rPr>
          <w:b/>
          <w:bCs/>
          <w:i/>
          <w:iCs/>
        </w:rPr>
        <w:t xml:space="preserve">5) аудиторами, являющимися учредителями (участниками) аудируемых лиц, их руководителями, бухгалтерами и иными лицами, несущими ответственность за организацию и ведение бухгалтерского учета и составление бухгалтерской (финансовой) отчетности; </w:t>
      </w:r>
    </w:p>
    <w:p w:rsidR="005E0AC2" w:rsidRDefault="005E0AC2" w:rsidP="005E0AC2">
      <w:pPr>
        <w:pStyle w:val="ConsPlusNormal"/>
        <w:ind w:firstLine="540"/>
        <w:jc w:val="both"/>
        <w:rPr>
          <w:b/>
          <w:bCs/>
          <w:i/>
          <w:iCs/>
        </w:rPr>
      </w:pPr>
      <w:r>
        <w:rPr>
          <w:b/>
          <w:bCs/>
          <w:i/>
          <w:iCs/>
        </w:rPr>
        <w:t xml:space="preserve">6) аудиторами, состоящими с учредителями (участниками) аудируемых лиц, их должностными лицами, бухгалтерами и иными лицами, несущими ответственность за организацию и ведение бухгалтерского учета и составление бухгалтерской (финансовой) отчетности, в близком родстве (родители, супруги, братья, сестры, дети, а также братья, сестры, родители и дети супругов). </w:t>
      </w:r>
    </w:p>
    <w:p w:rsidR="005E0AC2" w:rsidRDefault="005E0AC2" w:rsidP="005E0AC2">
      <w:pPr>
        <w:pStyle w:val="ConsPlusNormal"/>
        <w:ind w:firstLine="540"/>
        <w:jc w:val="both"/>
        <w:rPr>
          <w:b/>
          <w:bCs/>
          <w:i/>
          <w:iCs/>
        </w:rPr>
      </w:pPr>
      <w:r>
        <w:rPr>
          <w:b/>
          <w:bCs/>
          <w:i/>
          <w:iCs/>
        </w:rPr>
        <w:t xml:space="preserve">Основной мерой, предпринятой </w:t>
      </w:r>
      <w:r w:rsidR="009E7AD9">
        <w:rPr>
          <w:b/>
          <w:bCs/>
          <w:i/>
          <w:iCs/>
        </w:rPr>
        <w:t xml:space="preserve">Эмитентом </w:t>
      </w:r>
      <w:r>
        <w:rPr>
          <w:b/>
          <w:bCs/>
          <w:i/>
          <w:iCs/>
        </w:rPr>
        <w:t xml:space="preserve">для снижения зависимости друг от друга, является процесс тщательного рассмотрения кандидатуры аудитора на предмет его независимости от Эмитента. Аудитор является полностью независимым от органов управления </w:t>
      </w:r>
      <w:r w:rsidR="009E7AD9">
        <w:rPr>
          <w:b/>
          <w:bCs/>
          <w:i/>
          <w:iCs/>
        </w:rPr>
        <w:t xml:space="preserve">Эмитента </w:t>
      </w:r>
      <w:r>
        <w:rPr>
          <w:b/>
          <w:bCs/>
          <w:i/>
          <w:iCs/>
        </w:rPr>
        <w:t xml:space="preserve">в соответствии с требованиями </w:t>
      </w:r>
      <w:r w:rsidR="00692374">
        <w:rPr>
          <w:b/>
          <w:bCs/>
          <w:i/>
          <w:iCs/>
        </w:rPr>
        <w:t>Закона об аудиторской деятельности</w:t>
      </w:r>
      <w:r>
        <w:rPr>
          <w:b/>
          <w:bCs/>
          <w:i/>
          <w:iCs/>
        </w:rPr>
        <w:t>; размер вознаграждения аудитора не ставился в зависимость от результатов проведенной проверки.</w:t>
      </w:r>
    </w:p>
    <w:p w:rsidR="007A47A2" w:rsidRDefault="007A47A2" w:rsidP="005E0AC2">
      <w:pPr>
        <w:pStyle w:val="ConsPlusNormal"/>
        <w:ind w:firstLine="540"/>
        <w:jc w:val="both"/>
        <w:rPr>
          <w:rFonts w:ascii="Times New Roman" w:hAnsi="Times New Roman" w:cs="Times New Roman"/>
        </w:rPr>
      </w:pPr>
    </w:p>
    <w:p w:rsidR="005E0AC2" w:rsidRDefault="005E0AC2" w:rsidP="005E0AC2">
      <w:pPr>
        <w:pStyle w:val="ConsPlusNormal"/>
        <w:ind w:firstLine="540"/>
        <w:jc w:val="both"/>
        <w:rPr>
          <w:rFonts w:ascii="Times New Roman" w:hAnsi="Times New Roman" w:cs="Times New Roman"/>
        </w:rPr>
      </w:pPr>
      <w:r>
        <w:rPr>
          <w:rFonts w:ascii="Times New Roman" w:hAnsi="Times New Roman" w:cs="Times New Roman"/>
        </w:rPr>
        <w:t>Описывается порядок выбора аудитора (аудиторской организации) эмитента:</w:t>
      </w:r>
    </w:p>
    <w:p w:rsidR="007A47A2" w:rsidRDefault="007A47A2" w:rsidP="005E0AC2">
      <w:pPr>
        <w:ind w:firstLine="540"/>
        <w:jc w:val="both"/>
      </w:pPr>
    </w:p>
    <w:p w:rsidR="005E0AC2" w:rsidRDefault="005E0AC2" w:rsidP="005E0AC2">
      <w:pPr>
        <w:ind w:firstLine="540"/>
        <w:jc w:val="both"/>
        <w:rPr>
          <w:rFonts w:ascii="Arial" w:eastAsiaTheme="minorHAnsi" w:hAnsi="Arial" w:cs="Arial"/>
          <w:b/>
          <w:bCs/>
          <w:i/>
          <w:iCs/>
          <w:lang w:eastAsia="en-US"/>
        </w:rPr>
      </w:pPr>
      <w:r>
        <w:t>наличие процедуры тендера, связанного с выбором аудитора (аудиторской организации), и его основные условия:</w:t>
      </w:r>
      <w:r>
        <w:rPr>
          <w:bCs/>
          <w:iCs/>
        </w:rPr>
        <w:t xml:space="preserve"> </w:t>
      </w:r>
      <w:r>
        <w:rPr>
          <w:rFonts w:ascii="Arial" w:eastAsiaTheme="minorHAnsi" w:hAnsi="Arial" w:cs="Arial"/>
          <w:b/>
          <w:i/>
          <w:lang w:eastAsia="en-US"/>
        </w:rPr>
        <w:t>наличие процедуры тендера, связанного с выбором аудитора, не предусмотрено.</w:t>
      </w:r>
    </w:p>
    <w:p w:rsidR="007A47A2" w:rsidRDefault="007A47A2" w:rsidP="005E0AC2">
      <w:pPr>
        <w:ind w:firstLine="540"/>
        <w:jc w:val="both"/>
      </w:pPr>
    </w:p>
    <w:p w:rsidR="005E0AC2" w:rsidRDefault="005E0AC2" w:rsidP="005E0AC2">
      <w:pPr>
        <w:ind w:firstLine="540"/>
        <w:jc w:val="both"/>
        <w:rPr>
          <w:rFonts w:ascii="Arial" w:eastAsiaTheme="minorHAnsi" w:hAnsi="Arial" w:cs="Arial"/>
          <w:b/>
          <w:i/>
          <w:lang w:eastAsia="en-US"/>
        </w:rPr>
      </w:pPr>
      <w:r>
        <w:t xml:space="preserve">процедура выдвижения кандидатуры аудитора (аудиторской организации) для утверждения общим собранием акционеров (участников), в том числе орган управления, принимающий соответствующее решение: </w:t>
      </w:r>
      <w:r>
        <w:rPr>
          <w:rFonts w:ascii="Arial" w:eastAsiaTheme="minorHAnsi" w:hAnsi="Arial" w:cs="Arial"/>
          <w:b/>
          <w:i/>
          <w:lang w:eastAsia="en-US"/>
        </w:rPr>
        <w:t xml:space="preserve">в соответствии с Уставом Эмитента (раздел 8, п.8.5) утверждение аудитора </w:t>
      </w:r>
      <w:r w:rsidR="0071209D">
        <w:rPr>
          <w:rFonts w:ascii="Arial" w:eastAsiaTheme="minorHAnsi" w:hAnsi="Arial" w:cs="Arial"/>
          <w:b/>
          <w:i/>
          <w:lang w:eastAsia="en-US"/>
        </w:rPr>
        <w:t xml:space="preserve">Эмитента </w:t>
      </w:r>
      <w:r>
        <w:rPr>
          <w:rFonts w:ascii="Arial" w:eastAsiaTheme="minorHAnsi" w:hAnsi="Arial" w:cs="Arial"/>
          <w:b/>
          <w:i/>
          <w:lang w:eastAsia="en-US"/>
        </w:rPr>
        <w:t xml:space="preserve">относится к компетенции Общего собрания акционеров. </w:t>
      </w:r>
    </w:p>
    <w:p w:rsidR="005E0AC2" w:rsidRDefault="005E0AC2" w:rsidP="005E0AC2">
      <w:pPr>
        <w:ind w:firstLine="540"/>
        <w:jc w:val="both"/>
        <w:rPr>
          <w:rFonts w:ascii="Arial" w:eastAsiaTheme="minorHAnsi" w:hAnsi="Arial" w:cs="Arial"/>
          <w:b/>
          <w:i/>
          <w:lang w:eastAsia="en-US"/>
        </w:rPr>
      </w:pPr>
      <w:r>
        <w:rPr>
          <w:rFonts w:ascii="Arial" w:eastAsiaTheme="minorHAnsi" w:hAnsi="Arial" w:cs="Arial"/>
          <w:b/>
          <w:i/>
          <w:lang w:eastAsia="en-US"/>
        </w:rPr>
        <w:t>Кандидатура аудитора предложена Советом директоров Эмитента.</w:t>
      </w:r>
    </w:p>
    <w:p w:rsidR="007A47A2" w:rsidRDefault="007A47A2" w:rsidP="005E0AC2">
      <w:pPr>
        <w:ind w:firstLine="540"/>
        <w:jc w:val="both"/>
      </w:pPr>
    </w:p>
    <w:p w:rsidR="005E0AC2" w:rsidRDefault="005E0AC2" w:rsidP="005E0AC2">
      <w:pPr>
        <w:ind w:firstLine="540"/>
        <w:jc w:val="both"/>
        <w:rPr>
          <w:rFonts w:ascii="Arial" w:eastAsiaTheme="minorHAnsi" w:hAnsi="Arial" w:cs="Arial"/>
          <w:b/>
          <w:i/>
          <w:lang w:eastAsia="en-US"/>
        </w:rPr>
      </w:pPr>
      <w:r>
        <w:t>Указывается информация о работах, проводимых аудитором (аудиторской организацией) в рамках специальных аудиторских заданий:</w:t>
      </w:r>
      <w:r>
        <w:rPr>
          <w:rFonts w:ascii="Arial" w:eastAsiaTheme="minorHAnsi" w:hAnsi="Arial" w:cs="Arial"/>
          <w:b/>
          <w:i/>
          <w:lang w:eastAsia="en-US"/>
        </w:rPr>
        <w:t xml:space="preserve"> работ аудитора, в рамках специальных аудиторских заданий, не проводилось.</w:t>
      </w:r>
    </w:p>
    <w:p w:rsidR="007A47A2" w:rsidRDefault="007A47A2" w:rsidP="005E0AC2">
      <w:pPr>
        <w:pStyle w:val="ConsPlusNormal"/>
        <w:ind w:firstLine="540"/>
        <w:jc w:val="both"/>
        <w:rPr>
          <w:rFonts w:ascii="Times New Roman" w:hAnsi="Times New Roman" w:cs="Times New Roman"/>
        </w:rPr>
      </w:pPr>
    </w:p>
    <w:p w:rsidR="000D5772" w:rsidRDefault="005E0AC2" w:rsidP="005E0AC2">
      <w:pPr>
        <w:pStyle w:val="ConsPlusNormal"/>
        <w:ind w:firstLine="540"/>
        <w:jc w:val="both"/>
        <w:rPr>
          <w:b/>
          <w:i/>
        </w:rPr>
      </w:pPr>
      <w:r>
        <w:rPr>
          <w:rFonts w:ascii="Times New Roman" w:hAnsi="Times New Roman" w:cs="Times New Roman"/>
        </w:rPr>
        <w:t>Описывается порядок определения размера вознаграждения аудитора (аудиторской организации), указывается фактический размер вознаграждения, выплаченного эмитентом аудитору (аудиторской организации) по итогам последнего завершенного отчетного года, за который аудитором проводилась независимая проверка годовой бухгалтерской (финансовой) отчетности и (или) годовой консолидированной финансовой отчетности эмитента, приводится информация о наличии отсроченных и просроченных платежей за оказанные аудитором (аудиторской организацией) услуги:</w:t>
      </w:r>
      <w:r w:rsidR="004E498C">
        <w:rPr>
          <w:rFonts w:ascii="Times New Roman" w:hAnsi="Times New Roman" w:cs="Times New Roman"/>
        </w:rPr>
        <w:t xml:space="preserve"> </w:t>
      </w:r>
      <w:r w:rsidR="004E498C" w:rsidRPr="000D5772">
        <w:rPr>
          <w:b/>
          <w:i/>
        </w:rPr>
        <w:t>в соответствии с пп. 10 п.1 ст. 65</w:t>
      </w:r>
      <w:r w:rsidR="000D5772">
        <w:rPr>
          <w:b/>
          <w:i/>
        </w:rPr>
        <w:t xml:space="preserve"> Федерального закона от 26.12.1995 № 208-ФЗ «Об акционерных обществах» (далее – «Закон об акционерных обществах») к компетенции Совета директоров общества относится вопрос определения размере оплаты услуг аудитора. В</w:t>
      </w:r>
      <w:r>
        <w:rPr>
          <w:b/>
          <w:i/>
        </w:rPr>
        <w:t xml:space="preserve"> соответствии с пп.8, п. 9.2. раздела 9 Устава Эмитента, определение размера оплаты услуг аудитора относится к компетенции Совета директоров </w:t>
      </w:r>
      <w:r w:rsidR="008D4FC7">
        <w:rPr>
          <w:b/>
          <w:i/>
        </w:rPr>
        <w:t>Эмитента</w:t>
      </w:r>
      <w:r>
        <w:rPr>
          <w:b/>
          <w:i/>
        </w:rPr>
        <w:t xml:space="preserve">. </w:t>
      </w:r>
      <w:r w:rsidR="00692374">
        <w:rPr>
          <w:b/>
          <w:i/>
        </w:rPr>
        <w:t>Размер вознаграждени</w:t>
      </w:r>
      <w:r w:rsidR="008D4FC7">
        <w:rPr>
          <w:b/>
          <w:i/>
        </w:rPr>
        <w:t>я</w:t>
      </w:r>
      <w:r w:rsidR="00692374">
        <w:rPr>
          <w:b/>
          <w:i/>
        </w:rPr>
        <w:t xml:space="preserve"> </w:t>
      </w:r>
      <w:r>
        <w:rPr>
          <w:b/>
          <w:i/>
        </w:rPr>
        <w:t xml:space="preserve">аудитора </w:t>
      </w:r>
      <w:r w:rsidR="00692374">
        <w:rPr>
          <w:b/>
          <w:i/>
        </w:rPr>
        <w:t xml:space="preserve">определяется соглашением сторон. </w:t>
      </w:r>
    </w:p>
    <w:p w:rsidR="005E0AC2" w:rsidRDefault="005E0AC2" w:rsidP="005E0AC2">
      <w:pPr>
        <w:pStyle w:val="ConsPlusNormal"/>
        <w:ind w:firstLine="540"/>
        <w:jc w:val="both"/>
        <w:rPr>
          <w:b/>
          <w:i/>
        </w:rPr>
      </w:pPr>
      <w:r>
        <w:rPr>
          <w:b/>
          <w:i/>
        </w:rPr>
        <w:t xml:space="preserve">Фактический размер вознаграждения, выплаченного </w:t>
      </w:r>
      <w:r w:rsidR="008D4FC7">
        <w:rPr>
          <w:b/>
          <w:i/>
        </w:rPr>
        <w:t>Эмитентом</w:t>
      </w:r>
      <w:r w:rsidR="008D4FC7">
        <w:rPr>
          <w:rFonts w:ascii="Times New Roman" w:hAnsi="Times New Roman" w:cs="Times New Roman"/>
        </w:rPr>
        <w:t xml:space="preserve"> </w:t>
      </w:r>
      <w:r>
        <w:rPr>
          <w:b/>
          <w:i/>
        </w:rPr>
        <w:t>аудиторской организации</w:t>
      </w:r>
      <w:r w:rsidR="007D51B0">
        <w:rPr>
          <w:b/>
          <w:i/>
        </w:rPr>
        <w:t xml:space="preserve"> за оказание услуг аудитора по проверке</w:t>
      </w:r>
      <w:r w:rsidR="001F036D">
        <w:rPr>
          <w:b/>
          <w:i/>
        </w:rPr>
        <w:t xml:space="preserve"> бухгалтерской (финансовой) отчетности, составленной в соответствии с Российскими стандартами бухгалтерского учета (РСБУ)</w:t>
      </w:r>
      <w:r>
        <w:rPr>
          <w:b/>
          <w:i/>
        </w:rPr>
        <w:t>:</w:t>
      </w:r>
    </w:p>
    <w:p w:rsidR="005E0AC2" w:rsidRDefault="003C7487" w:rsidP="003C7487">
      <w:pPr>
        <w:pStyle w:val="ConsPlusNormal"/>
        <w:numPr>
          <w:ilvl w:val="0"/>
          <w:numId w:val="1"/>
        </w:numPr>
        <w:ind w:left="0" w:firstLine="567"/>
        <w:jc w:val="both"/>
        <w:rPr>
          <w:b/>
          <w:i/>
        </w:rPr>
      </w:pPr>
      <w:r>
        <w:rPr>
          <w:b/>
          <w:i/>
        </w:rPr>
        <w:t>з</w:t>
      </w:r>
      <w:r w:rsidR="005E0AC2">
        <w:rPr>
          <w:b/>
          <w:i/>
        </w:rPr>
        <w:t>а 2013 год –</w:t>
      </w:r>
      <w:r w:rsidR="006B3965">
        <w:rPr>
          <w:b/>
          <w:bCs/>
          <w:i/>
          <w:iCs/>
        </w:rPr>
        <w:t xml:space="preserve">1 425 000 </w:t>
      </w:r>
      <w:r w:rsidR="005E0AC2">
        <w:rPr>
          <w:b/>
          <w:i/>
        </w:rPr>
        <w:t>руб.</w:t>
      </w:r>
      <w:r>
        <w:rPr>
          <w:b/>
          <w:i/>
        </w:rPr>
        <w:t>;</w:t>
      </w:r>
    </w:p>
    <w:p w:rsidR="005E0AC2" w:rsidRDefault="003C7487" w:rsidP="003C7487">
      <w:pPr>
        <w:pStyle w:val="ConsPlusNormal"/>
        <w:numPr>
          <w:ilvl w:val="0"/>
          <w:numId w:val="1"/>
        </w:numPr>
        <w:ind w:left="0" w:firstLine="567"/>
        <w:jc w:val="both"/>
        <w:rPr>
          <w:b/>
          <w:i/>
        </w:rPr>
      </w:pPr>
      <w:r>
        <w:rPr>
          <w:b/>
          <w:i/>
        </w:rPr>
        <w:t>з</w:t>
      </w:r>
      <w:r w:rsidR="005E0AC2">
        <w:rPr>
          <w:b/>
          <w:i/>
        </w:rPr>
        <w:t xml:space="preserve">а 2014 год – </w:t>
      </w:r>
      <w:r w:rsidR="006B3965" w:rsidRPr="006B3965">
        <w:rPr>
          <w:b/>
          <w:bCs/>
          <w:i/>
          <w:iCs/>
        </w:rPr>
        <w:t>1 615 000</w:t>
      </w:r>
      <w:r w:rsidR="005E0AC2">
        <w:rPr>
          <w:b/>
          <w:i/>
        </w:rPr>
        <w:t xml:space="preserve"> руб.</w:t>
      </w:r>
      <w:r>
        <w:rPr>
          <w:b/>
          <w:i/>
        </w:rPr>
        <w:t>;</w:t>
      </w:r>
    </w:p>
    <w:p w:rsidR="005E0AC2" w:rsidRDefault="003C7487" w:rsidP="003C7487">
      <w:pPr>
        <w:pStyle w:val="ConsPlusNormal"/>
        <w:numPr>
          <w:ilvl w:val="0"/>
          <w:numId w:val="1"/>
        </w:numPr>
        <w:ind w:left="0" w:firstLine="567"/>
        <w:jc w:val="both"/>
        <w:rPr>
          <w:b/>
          <w:i/>
        </w:rPr>
      </w:pPr>
      <w:r>
        <w:rPr>
          <w:b/>
          <w:i/>
        </w:rPr>
        <w:t>з</w:t>
      </w:r>
      <w:r w:rsidR="005E0AC2">
        <w:rPr>
          <w:b/>
          <w:i/>
        </w:rPr>
        <w:t xml:space="preserve">а 2015 год - </w:t>
      </w:r>
      <w:r w:rsidR="006B3965" w:rsidRPr="00B51F4A">
        <w:rPr>
          <w:b/>
          <w:bCs/>
          <w:i/>
          <w:iCs/>
        </w:rPr>
        <w:t>1 235 000</w:t>
      </w:r>
      <w:r w:rsidR="005E0AC2">
        <w:rPr>
          <w:b/>
          <w:i/>
        </w:rPr>
        <w:t xml:space="preserve"> руб.</w:t>
      </w:r>
    </w:p>
    <w:p w:rsidR="005E0AC2" w:rsidRDefault="005E0AC2" w:rsidP="005E0AC2">
      <w:pPr>
        <w:ind w:firstLine="540"/>
        <w:jc w:val="both"/>
        <w:rPr>
          <w:rFonts w:ascii="Arial" w:eastAsiaTheme="minorHAnsi" w:hAnsi="Arial" w:cs="Arial"/>
          <w:b/>
          <w:i/>
          <w:lang w:eastAsia="en-US"/>
        </w:rPr>
      </w:pPr>
      <w:r>
        <w:rPr>
          <w:rFonts w:ascii="Arial" w:eastAsiaTheme="minorHAnsi" w:hAnsi="Arial" w:cs="Arial"/>
          <w:b/>
          <w:i/>
          <w:lang w:eastAsia="en-US"/>
        </w:rPr>
        <w:t>Отсроченных и просроченных платежей за оказанные аудитором (аудиторской организацией) услуги за 2013</w:t>
      </w:r>
      <w:r w:rsidR="00AF0DD2">
        <w:rPr>
          <w:rFonts w:ascii="Arial" w:eastAsiaTheme="minorHAnsi" w:hAnsi="Arial" w:cs="Arial"/>
          <w:b/>
          <w:i/>
          <w:lang w:eastAsia="en-US"/>
        </w:rPr>
        <w:t xml:space="preserve">, 2014 и </w:t>
      </w:r>
      <w:r>
        <w:rPr>
          <w:rFonts w:ascii="Arial" w:eastAsiaTheme="minorHAnsi" w:hAnsi="Arial" w:cs="Arial"/>
          <w:b/>
          <w:i/>
          <w:lang w:eastAsia="en-US"/>
        </w:rPr>
        <w:t xml:space="preserve">2015 годы </w:t>
      </w:r>
      <w:r w:rsidR="00AF0DD2">
        <w:rPr>
          <w:rFonts w:ascii="Arial" w:eastAsiaTheme="minorHAnsi" w:hAnsi="Arial" w:cs="Arial"/>
          <w:b/>
          <w:i/>
          <w:lang w:eastAsia="en-US"/>
        </w:rPr>
        <w:t>нет.</w:t>
      </w:r>
    </w:p>
    <w:p w:rsidR="005E0AC2" w:rsidRDefault="005E0AC2" w:rsidP="005E0AC2">
      <w:pPr>
        <w:pStyle w:val="ConsPlusNormal"/>
        <w:ind w:firstLine="540"/>
        <w:jc w:val="both"/>
        <w:rPr>
          <w:rFonts w:ascii="Times New Roman" w:hAnsi="Times New Roman" w:cs="Times New Roman"/>
        </w:rPr>
      </w:pPr>
    </w:p>
    <w:p w:rsidR="005E0AC2" w:rsidRDefault="005E0AC2" w:rsidP="005E0AC2">
      <w:pPr>
        <w:widowControl/>
        <w:spacing w:before="0" w:after="0"/>
        <w:ind w:firstLine="567"/>
        <w:jc w:val="both"/>
        <w:rPr>
          <w:rStyle w:val="Subst"/>
          <w:rFonts w:ascii="Arial" w:eastAsiaTheme="minorHAnsi" w:hAnsi="Arial" w:cs="Arial"/>
          <w:bCs/>
          <w:iCs/>
          <w:lang w:eastAsia="en-US"/>
        </w:rPr>
      </w:pPr>
      <w:r>
        <w:t xml:space="preserve">2. полное фирменное наименование аудиторской организации: </w:t>
      </w:r>
      <w:r>
        <w:rPr>
          <w:rFonts w:ascii="TimesNewRomanPS-BoldItalicMT" w:eastAsiaTheme="minorHAnsi" w:hAnsi="TimesNewRomanPS-BoldItalicMT" w:cs="TimesNewRomanPS-BoldItalicMT"/>
          <w:b/>
          <w:bCs/>
          <w:i/>
          <w:iCs/>
          <w:lang w:eastAsia="en-US"/>
        </w:rPr>
        <w:t>Закрытое акционерное общество "Международный консультативно</w:t>
      </w:r>
      <w:r>
        <w:rPr>
          <w:rFonts w:eastAsiaTheme="minorHAnsi"/>
          <w:b/>
          <w:bCs/>
          <w:i/>
          <w:iCs/>
          <w:lang w:eastAsia="en-US"/>
        </w:rPr>
        <w:t>-</w:t>
      </w:r>
      <w:r>
        <w:rPr>
          <w:rFonts w:ascii="TimesNewRomanPS-BoldItalicMT" w:eastAsiaTheme="minorHAnsi" w:hAnsi="TimesNewRomanPS-BoldItalicMT" w:cs="TimesNewRomanPS-BoldItalicMT"/>
          <w:b/>
          <w:bCs/>
          <w:i/>
          <w:iCs/>
          <w:lang w:eastAsia="en-US"/>
        </w:rPr>
        <w:t>правовой центр по налогообложению»</w:t>
      </w:r>
    </w:p>
    <w:p w:rsidR="005E0AC2" w:rsidRDefault="005E0AC2" w:rsidP="005E0AC2">
      <w:pPr>
        <w:widowControl/>
        <w:spacing w:before="0" w:after="0"/>
        <w:ind w:firstLine="567"/>
        <w:rPr>
          <w:rFonts w:ascii="TimesNewRomanPS-BoldItalicMT" w:eastAsiaTheme="minorHAnsi" w:hAnsi="TimesNewRomanPS-BoldItalicMT" w:cs="TimesNewRomanPS-BoldItalicMT"/>
        </w:rPr>
      </w:pPr>
      <w:r>
        <w:t xml:space="preserve">сокращенное фирменное наименование аудиторской организации: </w:t>
      </w:r>
      <w:r>
        <w:rPr>
          <w:rFonts w:ascii="TimesNewRomanPS-BoldItalicMT" w:eastAsiaTheme="minorHAnsi" w:hAnsi="TimesNewRomanPS-BoldItalicMT" w:cs="TimesNewRomanPS-BoldItalicMT"/>
          <w:b/>
          <w:bCs/>
          <w:i/>
          <w:iCs/>
          <w:lang w:eastAsia="en-US"/>
        </w:rPr>
        <w:t>ЗАО «МКПЦН»</w:t>
      </w:r>
    </w:p>
    <w:p w:rsidR="005E0AC2" w:rsidRDefault="005E0AC2" w:rsidP="005E0AC2">
      <w:pPr>
        <w:ind w:firstLine="567"/>
        <w:jc w:val="both"/>
        <w:rPr>
          <w:rFonts w:ascii="TimesNewRomanPS-BoldItalicMT" w:eastAsiaTheme="minorHAnsi" w:hAnsi="TimesNewRomanPS-BoldItalicMT" w:cs="TimesNewRomanPS-BoldItalicMT"/>
          <w:b/>
          <w:bCs/>
          <w:i/>
          <w:iCs/>
          <w:lang w:eastAsia="en-US"/>
        </w:rPr>
      </w:pPr>
      <w:r>
        <w:t xml:space="preserve">ИНН (если применимо): </w:t>
      </w:r>
      <w:r>
        <w:rPr>
          <w:rFonts w:ascii="TimesNewRomanPS-BoldItalicMT" w:eastAsiaTheme="minorHAnsi" w:hAnsi="TimesNewRomanPS-BoldItalicMT" w:cs="TimesNewRomanPS-BoldItalicMT"/>
          <w:b/>
          <w:bCs/>
          <w:i/>
          <w:iCs/>
          <w:lang w:eastAsia="en-US"/>
        </w:rPr>
        <w:t>7729006797</w:t>
      </w:r>
    </w:p>
    <w:p w:rsidR="005E0AC2" w:rsidRDefault="005E0AC2" w:rsidP="005E0AC2">
      <w:pPr>
        <w:widowControl/>
        <w:spacing w:before="0" w:after="0"/>
        <w:ind w:firstLine="567"/>
        <w:rPr>
          <w:rFonts w:ascii="TimesNewRomanPS-BoldItalicMT" w:eastAsiaTheme="minorHAnsi" w:hAnsi="TimesNewRomanPS-BoldItalicMT" w:cs="TimesNewRomanPS-BoldItalicMT"/>
          <w:b/>
          <w:bCs/>
          <w:i/>
          <w:iCs/>
          <w:lang w:eastAsia="en-US"/>
        </w:rPr>
      </w:pPr>
      <w:r>
        <w:t xml:space="preserve">ОГРН (если применимо): </w:t>
      </w:r>
      <w:r>
        <w:rPr>
          <w:rFonts w:ascii="TimesNewRomanPS-BoldItalicMT" w:eastAsiaTheme="minorHAnsi" w:hAnsi="TimesNewRomanPS-BoldItalicMT" w:cs="TimesNewRomanPS-BoldItalicMT"/>
          <w:b/>
          <w:bCs/>
          <w:i/>
          <w:iCs/>
          <w:lang w:eastAsia="en-US"/>
        </w:rPr>
        <w:t>1027739831900</w:t>
      </w:r>
    </w:p>
    <w:p w:rsidR="005E0AC2" w:rsidRDefault="005E0AC2" w:rsidP="005E0AC2">
      <w:pPr>
        <w:ind w:firstLine="567"/>
        <w:jc w:val="both"/>
        <w:rPr>
          <w:rFonts w:ascii="TimesNewRomanPS-BoldItalicMT" w:eastAsiaTheme="minorHAnsi" w:hAnsi="TimesNewRomanPS-BoldItalicMT" w:cs="TimesNewRomanPS-BoldItalicMT"/>
          <w:b/>
          <w:bCs/>
          <w:i/>
          <w:iCs/>
          <w:lang w:eastAsia="en-US"/>
        </w:rPr>
      </w:pPr>
      <w:r>
        <w:t xml:space="preserve">место нахождения аудиторской организации: </w:t>
      </w:r>
      <w:r>
        <w:rPr>
          <w:rFonts w:ascii="TimesNewRomanPS-BoldItalicMT" w:eastAsiaTheme="minorHAnsi" w:hAnsi="TimesNewRomanPS-BoldItalicMT" w:cs="TimesNewRomanPS-BoldItalicMT"/>
          <w:b/>
          <w:bCs/>
          <w:i/>
          <w:iCs/>
          <w:lang w:eastAsia="en-US"/>
        </w:rPr>
        <w:t xml:space="preserve">119602, </w:t>
      </w:r>
      <w:r w:rsidR="00C2400D">
        <w:rPr>
          <w:rFonts w:ascii="TimesNewRomanPS-BoldItalicMT" w:eastAsiaTheme="minorHAnsi" w:hAnsi="TimesNewRomanPS-BoldItalicMT" w:cs="TimesNewRomanPS-BoldItalicMT"/>
          <w:b/>
          <w:bCs/>
          <w:i/>
          <w:iCs/>
          <w:lang w:eastAsia="en-US"/>
        </w:rPr>
        <w:t xml:space="preserve">г. </w:t>
      </w:r>
      <w:r>
        <w:rPr>
          <w:rFonts w:ascii="TimesNewRomanPS-BoldItalicMT" w:eastAsiaTheme="minorHAnsi" w:hAnsi="TimesNewRomanPS-BoldItalicMT" w:cs="TimesNewRomanPS-BoldItalicMT"/>
          <w:b/>
          <w:bCs/>
          <w:i/>
          <w:iCs/>
          <w:lang w:eastAsia="en-US"/>
        </w:rPr>
        <w:t>Москва, Академика Анохина ул., 34, стр.2</w:t>
      </w:r>
    </w:p>
    <w:p w:rsidR="005E0AC2" w:rsidRDefault="005E0AC2" w:rsidP="005E0AC2">
      <w:pPr>
        <w:widowControl/>
        <w:spacing w:before="0" w:after="0"/>
        <w:ind w:firstLine="567"/>
        <w:rPr>
          <w:rFonts w:ascii="TimesNewRomanPS-BoldItalicMT" w:eastAsiaTheme="minorHAnsi" w:hAnsi="TimesNewRomanPS-BoldItalicMT" w:cs="TimesNewRomanPS-BoldItalicMT"/>
        </w:rPr>
      </w:pPr>
      <w:r>
        <w:t xml:space="preserve">номер телефона и факса: </w:t>
      </w:r>
      <w:r>
        <w:rPr>
          <w:rFonts w:ascii="TimesNewRomanPS-BoldItalicMT" w:eastAsiaTheme="minorHAnsi" w:hAnsi="TimesNewRomanPS-BoldItalicMT" w:cs="TimesNewRomanPS-BoldItalicMT"/>
          <w:b/>
          <w:bCs/>
          <w:i/>
          <w:iCs/>
          <w:lang w:eastAsia="en-US"/>
        </w:rPr>
        <w:t>(800) 505-0580</w:t>
      </w:r>
      <w:r w:rsidR="007A47A2">
        <w:rPr>
          <w:rFonts w:ascii="TimesNewRomanPS-BoldItalicMT" w:eastAsiaTheme="minorHAnsi" w:hAnsi="TimesNewRomanPS-BoldItalicMT" w:cs="TimesNewRomanPS-BoldItalicMT"/>
          <w:b/>
          <w:bCs/>
          <w:i/>
          <w:iCs/>
          <w:lang w:eastAsia="en-US"/>
        </w:rPr>
        <w:t>/</w:t>
      </w:r>
      <w:r w:rsidR="00F63EE2" w:rsidRPr="0075747A">
        <w:rPr>
          <w:rFonts w:ascii="TimesNewRomanPS-BoldItalicMT" w:eastAsiaTheme="minorHAnsi" w:hAnsi="TimesNewRomanPS-BoldItalicMT" w:cs="TimesNewRomanPS-BoldItalicMT"/>
          <w:b/>
          <w:bCs/>
          <w:i/>
          <w:iCs/>
          <w:lang w:eastAsia="en-US"/>
        </w:rPr>
        <w:t xml:space="preserve"> </w:t>
      </w:r>
      <w:r>
        <w:rPr>
          <w:rFonts w:ascii="TimesNewRomanPS-BoldItalicMT" w:eastAsiaTheme="minorHAnsi" w:hAnsi="TimesNewRomanPS-BoldItalicMT" w:cs="TimesNewRomanPS-BoldItalicMT"/>
          <w:b/>
          <w:bCs/>
          <w:i/>
          <w:iCs/>
          <w:lang w:eastAsia="en-US"/>
        </w:rPr>
        <w:t>(495) 621-5687</w:t>
      </w:r>
    </w:p>
    <w:p w:rsidR="005E0AC2" w:rsidRDefault="005E0AC2" w:rsidP="005E0AC2">
      <w:pPr>
        <w:ind w:firstLine="567"/>
        <w:jc w:val="both"/>
        <w:rPr>
          <w:rFonts w:ascii="TimesNewRomanPS-BoldItalicMT" w:eastAsiaTheme="minorHAnsi" w:hAnsi="TimesNewRomanPS-BoldItalicMT" w:cs="TimesNewRomanPS-BoldItalicMT"/>
        </w:rPr>
      </w:pPr>
      <w:r>
        <w:t xml:space="preserve">адрес электронной почты (если имеется): </w:t>
      </w:r>
      <w:r>
        <w:rPr>
          <w:rFonts w:ascii="TimesNewRomanPS-BoldItalicMT" w:eastAsiaTheme="minorHAnsi" w:hAnsi="TimesNewRomanPS-BoldItalicMT" w:cs="TimesNewRomanPS-BoldItalicMT"/>
          <w:b/>
          <w:bCs/>
          <w:i/>
          <w:iCs/>
          <w:lang w:eastAsia="en-US"/>
        </w:rPr>
        <w:t>mkpcn@mkpcn.ru</w:t>
      </w:r>
    </w:p>
    <w:p w:rsidR="00970DA0" w:rsidRDefault="005E0AC2" w:rsidP="00970DA0">
      <w:pPr>
        <w:ind w:firstLine="567"/>
        <w:jc w:val="both"/>
        <w:rPr>
          <w:rStyle w:val="Subst"/>
          <w:rFonts w:ascii="Arial" w:eastAsiaTheme="minorHAnsi" w:hAnsi="Arial" w:cs="Arial"/>
          <w:bCs/>
          <w:iCs/>
          <w:lang w:eastAsia="en-US"/>
        </w:rPr>
      </w:pPr>
      <w:r>
        <w:t xml:space="preserve">полное наименование саморегулируемой организации аудиторов, членом которой является (являлся) аудитор (аудиторская организация) эмитента: </w:t>
      </w:r>
      <w:r>
        <w:rPr>
          <w:rStyle w:val="Subst"/>
          <w:rFonts w:ascii="Arial" w:eastAsiaTheme="minorHAnsi" w:hAnsi="Arial" w:cs="Arial"/>
          <w:bCs/>
          <w:iCs/>
          <w:lang w:eastAsia="en-US"/>
        </w:rPr>
        <w:t xml:space="preserve">Саморегулируемая организация аудиторов «Аудиторская Палата России» </w:t>
      </w:r>
      <w:r w:rsidR="00970DA0" w:rsidRPr="00E148E7">
        <w:rPr>
          <w:rStyle w:val="Subst"/>
          <w:rFonts w:ascii="Arial" w:eastAsiaTheme="minorHAnsi" w:hAnsi="Arial" w:cs="Arial"/>
          <w:bCs/>
          <w:iCs/>
          <w:lang w:eastAsia="en-US"/>
        </w:rPr>
        <w:t>(Ассоциация)</w:t>
      </w:r>
    </w:p>
    <w:p w:rsidR="005E0AC2" w:rsidRDefault="005E0AC2" w:rsidP="005E0AC2">
      <w:pPr>
        <w:ind w:firstLine="567"/>
        <w:jc w:val="both"/>
      </w:pPr>
      <w:r>
        <w:t xml:space="preserve">место нахождения саморегулируемой организации аудиторов, членом которой является (являлся) аудитор (аудиторская организация) эмитента: </w:t>
      </w:r>
      <w:r>
        <w:rPr>
          <w:rStyle w:val="Subst"/>
          <w:rFonts w:ascii="Arial" w:eastAsiaTheme="minorHAnsi" w:hAnsi="Arial" w:cs="Arial"/>
          <w:bCs/>
          <w:iCs/>
          <w:lang w:eastAsia="en-US"/>
        </w:rPr>
        <w:t>105120</w:t>
      </w:r>
      <w:r w:rsidR="00142B05">
        <w:rPr>
          <w:rStyle w:val="Subst"/>
          <w:rFonts w:ascii="Arial" w:eastAsiaTheme="minorHAnsi" w:hAnsi="Arial" w:cs="Arial"/>
          <w:bCs/>
          <w:iCs/>
          <w:lang w:eastAsia="en-US"/>
        </w:rPr>
        <w:t>,</w:t>
      </w:r>
      <w:r>
        <w:rPr>
          <w:rStyle w:val="Subst"/>
          <w:rFonts w:ascii="Arial" w:eastAsiaTheme="minorHAnsi" w:hAnsi="Arial" w:cs="Arial"/>
          <w:bCs/>
          <w:iCs/>
          <w:lang w:eastAsia="en-US"/>
        </w:rPr>
        <w:t xml:space="preserve"> Россия, Москва, 3-й Сыромятнический пер. 3/9</w:t>
      </w:r>
      <w:r w:rsidR="00142B05">
        <w:rPr>
          <w:rStyle w:val="Subst"/>
          <w:rFonts w:ascii="Arial" w:eastAsiaTheme="minorHAnsi" w:hAnsi="Arial" w:cs="Arial"/>
          <w:bCs/>
          <w:iCs/>
          <w:lang w:eastAsia="en-US"/>
        </w:rPr>
        <w:t>,</w:t>
      </w:r>
      <w:r>
        <w:rPr>
          <w:rStyle w:val="Subst"/>
          <w:rFonts w:ascii="Arial" w:eastAsiaTheme="minorHAnsi" w:hAnsi="Arial" w:cs="Arial"/>
          <w:bCs/>
          <w:iCs/>
          <w:lang w:eastAsia="en-US"/>
        </w:rPr>
        <w:t xml:space="preserve"> стр. 3</w:t>
      </w:r>
    </w:p>
    <w:p w:rsidR="005E0AC2" w:rsidRDefault="005E0AC2" w:rsidP="005E0AC2">
      <w:pPr>
        <w:ind w:firstLine="567"/>
        <w:jc w:val="both"/>
      </w:pPr>
      <w:r>
        <w:t xml:space="preserve">отчетный год (годы) из числа последних трех завершенных отчетных лет или иной отчетный период, за который (за которые) аудитором (аудиторской организацией) проводилась независимая проверка отчетности эмитента: </w:t>
      </w:r>
      <w:r>
        <w:rPr>
          <w:rStyle w:val="Subst"/>
          <w:rFonts w:ascii="Arial" w:hAnsi="Arial" w:cs="Arial"/>
        </w:rPr>
        <w:t>2012 и 2013 годы</w:t>
      </w:r>
    </w:p>
    <w:p w:rsidR="005E0AC2" w:rsidRDefault="005E0AC2" w:rsidP="005E0AC2">
      <w:pPr>
        <w:pStyle w:val="ConsPlusNormal"/>
        <w:ind w:firstLine="567"/>
        <w:jc w:val="both"/>
        <w:rPr>
          <w:rFonts w:ascii="Times New Roman" w:hAnsi="Times New Roman" w:cs="Times New Roman"/>
        </w:rPr>
      </w:pPr>
      <w:r>
        <w:rPr>
          <w:rFonts w:ascii="Times New Roman" w:hAnsi="Times New Roman" w:cs="Times New Roman"/>
        </w:rPr>
        <w:t xml:space="preserve">вид бухгалтерской (финансовой) отчетности эмитента, в отношении которой аудитором (аудиторской организацией) проводилась независимая проверка (бухгалтерская (финансовая) отчетность, консолидированная финансовая отчетность): </w:t>
      </w:r>
    </w:p>
    <w:p w:rsidR="005E0AC2" w:rsidRDefault="00374579" w:rsidP="005E0AC2">
      <w:pPr>
        <w:pStyle w:val="ConsPlusNormal"/>
        <w:numPr>
          <w:ilvl w:val="0"/>
          <w:numId w:val="1"/>
        </w:numPr>
        <w:ind w:left="0" w:firstLine="567"/>
        <w:jc w:val="both"/>
        <w:rPr>
          <w:b/>
          <w:bCs/>
          <w:i/>
          <w:iCs/>
        </w:rPr>
      </w:pPr>
      <w:r>
        <w:rPr>
          <w:b/>
          <w:bCs/>
          <w:i/>
          <w:iCs/>
        </w:rPr>
        <w:t xml:space="preserve">консолидированная финансовая отчетность </w:t>
      </w:r>
      <w:r w:rsidR="005E0AC2">
        <w:rPr>
          <w:b/>
          <w:bCs/>
          <w:i/>
          <w:iCs/>
        </w:rPr>
        <w:t xml:space="preserve">Эмитента, </w:t>
      </w:r>
      <w:r>
        <w:rPr>
          <w:b/>
          <w:bCs/>
          <w:i/>
          <w:iCs/>
        </w:rPr>
        <w:t xml:space="preserve">составленная </w:t>
      </w:r>
      <w:r w:rsidR="005E0AC2">
        <w:rPr>
          <w:b/>
          <w:bCs/>
          <w:i/>
          <w:iCs/>
        </w:rPr>
        <w:t xml:space="preserve">в соответствии с Международными стандартами финансовой отчетности </w:t>
      </w:r>
      <w:r>
        <w:rPr>
          <w:b/>
          <w:bCs/>
          <w:i/>
          <w:iCs/>
        </w:rPr>
        <w:t xml:space="preserve">(МСФО) </w:t>
      </w:r>
      <w:r w:rsidR="005E0AC2">
        <w:rPr>
          <w:b/>
          <w:bCs/>
          <w:i/>
          <w:iCs/>
        </w:rPr>
        <w:t>за 2012 и 2013 годы;</w:t>
      </w:r>
    </w:p>
    <w:p w:rsidR="005E0AC2" w:rsidRDefault="00374579" w:rsidP="005E0AC2">
      <w:pPr>
        <w:pStyle w:val="ConsPlusNormal"/>
        <w:numPr>
          <w:ilvl w:val="0"/>
          <w:numId w:val="1"/>
        </w:numPr>
        <w:ind w:left="0" w:firstLine="567"/>
        <w:jc w:val="both"/>
        <w:rPr>
          <w:b/>
          <w:bCs/>
          <w:i/>
          <w:iCs/>
        </w:rPr>
      </w:pPr>
      <w:r>
        <w:rPr>
          <w:b/>
          <w:bCs/>
          <w:i/>
          <w:iCs/>
        </w:rPr>
        <w:t xml:space="preserve">отдельная финансовая отчетность </w:t>
      </w:r>
      <w:r w:rsidR="005E0AC2">
        <w:rPr>
          <w:b/>
          <w:bCs/>
          <w:i/>
          <w:iCs/>
        </w:rPr>
        <w:t xml:space="preserve">Эмитента, </w:t>
      </w:r>
      <w:r>
        <w:rPr>
          <w:b/>
          <w:bCs/>
          <w:i/>
          <w:iCs/>
        </w:rPr>
        <w:t xml:space="preserve">составленная </w:t>
      </w:r>
      <w:r w:rsidR="005E0AC2">
        <w:rPr>
          <w:b/>
          <w:bCs/>
          <w:i/>
          <w:iCs/>
        </w:rPr>
        <w:t>в соответствии с Международными стандартами финансовой отчетности</w:t>
      </w:r>
      <w:r>
        <w:rPr>
          <w:b/>
          <w:bCs/>
          <w:i/>
          <w:iCs/>
        </w:rPr>
        <w:t xml:space="preserve"> (МСФО)</w:t>
      </w:r>
      <w:r w:rsidR="005E0AC2">
        <w:rPr>
          <w:b/>
          <w:bCs/>
          <w:i/>
          <w:iCs/>
        </w:rPr>
        <w:t xml:space="preserve"> за 2012 год</w:t>
      </w:r>
      <w:r>
        <w:rPr>
          <w:b/>
          <w:bCs/>
          <w:i/>
          <w:iCs/>
        </w:rPr>
        <w:t>.</w:t>
      </w:r>
    </w:p>
    <w:p w:rsidR="005E0AC2" w:rsidRDefault="005E0AC2" w:rsidP="005E0AC2">
      <w:pPr>
        <w:pStyle w:val="ConsPlusNormal"/>
        <w:ind w:firstLine="567"/>
        <w:jc w:val="both"/>
        <w:rPr>
          <w:b/>
          <w:bCs/>
          <w:i/>
          <w:iCs/>
        </w:rPr>
      </w:pPr>
      <w:r>
        <w:rPr>
          <w:rFonts w:ascii="Times New Roman" w:hAnsi="Times New Roman" w:cs="Times New Roman"/>
        </w:rPr>
        <w:t xml:space="preserve">В случае если аудитором (аудиторской организацией) проводилась независимая проверка вступительной бухгалтерской (финансовой) отчетности эмитента или квартальной бухгалтерской (финансовой) отчетности эмитента, дополнительно указывается на это обстоятельство, а также приводится период (периоды) из числа последних трех завершенных отчетных лет и текущего года, отчетность эмитента за который (которые) проверялась аудитором (аудиторской организацией): </w:t>
      </w:r>
      <w:r>
        <w:rPr>
          <w:b/>
          <w:bCs/>
          <w:i/>
          <w:iCs/>
        </w:rPr>
        <w:t>не проводилась</w:t>
      </w:r>
    </w:p>
    <w:p w:rsidR="007A47A2" w:rsidRDefault="007A47A2" w:rsidP="005E0AC2">
      <w:pPr>
        <w:pStyle w:val="ConsPlusNormal"/>
        <w:ind w:firstLine="540"/>
        <w:jc w:val="both"/>
        <w:rPr>
          <w:rFonts w:ascii="Times New Roman" w:hAnsi="Times New Roman" w:cs="Times New Roman"/>
        </w:rPr>
      </w:pPr>
    </w:p>
    <w:p w:rsidR="005E0AC2" w:rsidRDefault="005E0AC2" w:rsidP="005E0AC2">
      <w:pPr>
        <w:pStyle w:val="ConsPlusNormal"/>
        <w:ind w:firstLine="540"/>
        <w:jc w:val="both"/>
        <w:rPr>
          <w:rFonts w:ascii="Times New Roman" w:hAnsi="Times New Roman" w:cs="Times New Roman"/>
        </w:rPr>
      </w:pPr>
      <w:r>
        <w:rPr>
          <w:rFonts w:ascii="Times New Roman" w:hAnsi="Times New Roman" w:cs="Times New Roman"/>
        </w:rPr>
        <w:t>Описываются факторы, которые могут оказать влияние на независимость аудитора (аудиторской организации) от эмитента, в том числе указывается информация о наличии существенных интересов, связывающих аудитора (лиц, занимающих должности в органах управления и органах контроля за финансово-хозяйственной деятельностью аудиторской организации) с эмитентом (лицами, занимающими должности в органах управления и органах контроля за финансово-хозяйственной деятельностью эмитента):</w:t>
      </w:r>
    </w:p>
    <w:p w:rsidR="007A47A2" w:rsidRDefault="007A47A2" w:rsidP="005E0AC2">
      <w:pPr>
        <w:pStyle w:val="ConsPlusNormal"/>
        <w:ind w:firstLine="540"/>
        <w:jc w:val="both"/>
        <w:rPr>
          <w:rFonts w:ascii="Times New Roman" w:hAnsi="Times New Roman" w:cs="Times New Roman"/>
        </w:rPr>
      </w:pPr>
    </w:p>
    <w:p w:rsidR="005E0AC2" w:rsidRDefault="005E0AC2" w:rsidP="005E0AC2">
      <w:pPr>
        <w:pStyle w:val="ConsPlusNormal"/>
        <w:ind w:firstLine="540"/>
        <w:jc w:val="both"/>
        <w:rPr>
          <w:b/>
          <w:bCs/>
          <w:i/>
          <w:iCs/>
        </w:rPr>
      </w:pPr>
      <w:r>
        <w:rPr>
          <w:rFonts w:ascii="Times New Roman" w:hAnsi="Times New Roman" w:cs="Times New Roman"/>
        </w:rPr>
        <w:t xml:space="preserve">наличие долей участия аудитора (лиц, занимающих должности в органах управления и органах контроля за финансово-хозяйственной деятельностью аудиторской организации) в уставном капитале эмитента: </w:t>
      </w:r>
      <w:r>
        <w:rPr>
          <w:b/>
          <w:bCs/>
          <w:i/>
          <w:iCs/>
        </w:rPr>
        <w:t>долей не имеет;</w:t>
      </w:r>
    </w:p>
    <w:p w:rsidR="007A47A2" w:rsidRDefault="007A47A2" w:rsidP="005E0AC2">
      <w:pPr>
        <w:pStyle w:val="ConsPlusNormal"/>
        <w:ind w:firstLine="540"/>
        <w:jc w:val="both"/>
        <w:rPr>
          <w:rFonts w:ascii="Times New Roman" w:hAnsi="Times New Roman" w:cs="Times New Roman"/>
        </w:rPr>
      </w:pPr>
    </w:p>
    <w:p w:rsidR="005E0AC2" w:rsidRDefault="005E0AC2" w:rsidP="005E0AC2">
      <w:pPr>
        <w:pStyle w:val="ConsPlusNormal"/>
        <w:ind w:firstLine="540"/>
        <w:jc w:val="both"/>
        <w:rPr>
          <w:b/>
          <w:bCs/>
          <w:i/>
          <w:iCs/>
        </w:rPr>
      </w:pPr>
      <w:r>
        <w:rPr>
          <w:rFonts w:ascii="Times New Roman" w:hAnsi="Times New Roman" w:cs="Times New Roman"/>
        </w:rPr>
        <w:t xml:space="preserve">предоставление эмитентом заемных средств аудитору (лицам, занимающим должности в органах управления и органах контроля за финансово-хозяйственной деятельностью аудиторской организации): </w:t>
      </w:r>
      <w:r>
        <w:rPr>
          <w:b/>
          <w:bCs/>
          <w:i/>
          <w:iCs/>
        </w:rPr>
        <w:t>Заемные средства аудитору (должностным лицам аудитора) не предоставлялись;</w:t>
      </w:r>
    </w:p>
    <w:p w:rsidR="007A47A2" w:rsidRDefault="007A47A2" w:rsidP="005E0AC2">
      <w:pPr>
        <w:pStyle w:val="ConsPlusNormal"/>
        <w:ind w:firstLine="540"/>
        <w:jc w:val="both"/>
        <w:rPr>
          <w:rFonts w:ascii="Times New Roman" w:hAnsi="Times New Roman" w:cs="Times New Roman"/>
        </w:rPr>
      </w:pPr>
    </w:p>
    <w:p w:rsidR="005E0AC2" w:rsidRDefault="005E0AC2" w:rsidP="005E0AC2">
      <w:pPr>
        <w:pStyle w:val="ConsPlusNormal"/>
        <w:ind w:firstLine="540"/>
        <w:jc w:val="both"/>
        <w:rPr>
          <w:rFonts w:ascii="Times New Roman" w:hAnsi="Times New Roman" w:cs="Times New Roman"/>
        </w:rPr>
      </w:pPr>
      <w:r>
        <w:rPr>
          <w:rFonts w:ascii="Times New Roman" w:hAnsi="Times New Roman" w:cs="Times New Roman"/>
        </w:rPr>
        <w:t xml:space="preserve">наличие тесных деловых взаимоотношений (участие в продвижении продукции (услуг) эмитента, участие в совместной предпринимательской деятельности и т.д.), а также родственных связей: </w:t>
      </w:r>
      <w:r w:rsidRPr="008D2220">
        <w:rPr>
          <w:b/>
          <w:bCs/>
          <w:i/>
          <w:iCs/>
        </w:rPr>
        <w:t>у</w:t>
      </w:r>
      <w:r>
        <w:rPr>
          <w:b/>
          <w:bCs/>
          <w:i/>
          <w:iCs/>
        </w:rPr>
        <w:t>казанных взаимоотношений и связей нет;</w:t>
      </w:r>
    </w:p>
    <w:p w:rsidR="007A47A2" w:rsidRDefault="007A47A2" w:rsidP="005E0AC2">
      <w:pPr>
        <w:pStyle w:val="ConsPlusNormal"/>
        <w:ind w:firstLine="540"/>
        <w:jc w:val="both"/>
        <w:rPr>
          <w:rFonts w:ascii="Times New Roman" w:hAnsi="Times New Roman" w:cs="Times New Roman"/>
        </w:rPr>
      </w:pPr>
    </w:p>
    <w:p w:rsidR="005E0AC2" w:rsidRDefault="005E0AC2" w:rsidP="005E0AC2">
      <w:pPr>
        <w:pStyle w:val="ConsPlusNormal"/>
        <w:ind w:firstLine="540"/>
        <w:jc w:val="both"/>
        <w:rPr>
          <w:rFonts w:ascii="Times New Roman" w:hAnsi="Times New Roman" w:cs="Times New Roman"/>
        </w:rPr>
      </w:pPr>
      <w:r>
        <w:rPr>
          <w:rFonts w:ascii="Times New Roman" w:hAnsi="Times New Roman" w:cs="Times New Roman"/>
        </w:rPr>
        <w:t xml:space="preserve">сведения о лицах, занимающих должности в органах управления и (или) органах контроля за финансово-хозяйственной деятельностью эмитента, которые одновременно занимают должности в органах управления и (или) органах контроля за финансово-хозяйственной деятельностью аудиторской организации: </w:t>
      </w:r>
      <w:r>
        <w:rPr>
          <w:b/>
          <w:bCs/>
          <w:i/>
          <w:iCs/>
        </w:rPr>
        <w:t>должностных лиц Эмитента, являющихся одновременно должностными лицами аудитора (аудитором), нет.</w:t>
      </w:r>
    </w:p>
    <w:p w:rsidR="005E0AC2" w:rsidRDefault="005E0AC2" w:rsidP="005E0AC2">
      <w:pPr>
        <w:pStyle w:val="ConsPlusNormal"/>
        <w:ind w:firstLine="540"/>
        <w:jc w:val="both"/>
        <w:rPr>
          <w:b/>
          <w:bCs/>
          <w:i/>
          <w:iCs/>
        </w:rPr>
      </w:pPr>
      <w:r>
        <w:rPr>
          <w:b/>
          <w:bCs/>
          <w:i/>
          <w:iCs/>
        </w:rPr>
        <w:t>Существенные интересы, связывающие аудитора (должностных лиц аудитора) с Эмитентом (должностными лицами Эмитента), отсутствуют.</w:t>
      </w:r>
    </w:p>
    <w:p w:rsidR="005E0AC2" w:rsidRDefault="005E0AC2" w:rsidP="005E0AC2">
      <w:pPr>
        <w:pStyle w:val="ConsPlusNormal"/>
        <w:ind w:firstLine="540"/>
        <w:jc w:val="both"/>
        <w:rPr>
          <w:rFonts w:ascii="Times New Roman" w:hAnsi="Times New Roman" w:cs="Times New Roman"/>
        </w:rPr>
      </w:pPr>
    </w:p>
    <w:p w:rsidR="005E0AC2" w:rsidRDefault="005E0AC2" w:rsidP="005E0AC2">
      <w:pPr>
        <w:pStyle w:val="ConsPlusNormal"/>
        <w:ind w:firstLine="540"/>
        <w:jc w:val="both"/>
        <w:rPr>
          <w:rFonts w:ascii="Times New Roman" w:hAnsi="Times New Roman" w:cs="Times New Roman"/>
        </w:rPr>
      </w:pPr>
      <w:r>
        <w:rPr>
          <w:rFonts w:ascii="Times New Roman" w:hAnsi="Times New Roman" w:cs="Times New Roman"/>
        </w:rPr>
        <w:t>Указываются меры, предпринятые эмитентом и аудитором (аудиторской организацией) для снижения влияния указанных факторов:</w:t>
      </w:r>
    </w:p>
    <w:p w:rsidR="005E0AC2" w:rsidRDefault="005E0AC2" w:rsidP="005E0AC2">
      <w:pPr>
        <w:pStyle w:val="ConsPlusNormal"/>
        <w:ind w:firstLine="540"/>
        <w:jc w:val="both"/>
        <w:rPr>
          <w:b/>
          <w:bCs/>
          <w:i/>
          <w:iCs/>
        </w:rPr>
      </w:pPr>
      <w:r>
        <w:rPr>
          <w:b/>
          <w:bCs/>
          <w:i/>
          <w:iCs/>
        </w:rPr>
        <w:t xml:space="preserve">Эмитент и аудитор действовали в рамках действующего законодательства, в частности в соответствии с </w:t>
      </w:r>
      <w:r w:rsidR="00094B4F">
        <w:rPr>
          <w:b/>
          <w:bCs/>
          <w:i/>
          <w:iCs/>
        </w:rPr>
        <w:t>Законом об аудиторской деятельности</w:t>
      </w:r>
      <w:r>
        <w:rPr>
          <w:b/>
          <w:bCs/>
          <w:i/>
          <w:iCs/>
        </w:rPr>
        <w:t>, согласно которо</w:t>
      </w:r>
      <w:r w:rsidR="005C69A0">
        <w:rPr>
          <w:b/>
          <w:bCs/>
          <w:i/>
          <w:iCs/>
        </w:rPr>
        <w:t>му</w:t>
      </w:r>
      <w:r>
        <w:rPr>
          <w:b/>
          <w:bCs/>
          <w:i/>
          <w:iCs/>
        </w:rPr>
        <w:t xml:space="preserve"> аудит не может осуществляться: </w:t>
      </w:r>
    </w:p>
    <w:p w:rsidR="005E0AC2" w:rsidRDefault="005E0AC2" w:rsidP="005E0AC2">
      <w:pPr>
        <w:pStyle w:val="ConsPlusNormal"/>
        <w:ind w:firstLine="540"/>
        <w:jc w:val="both"/>
        <w:rPr>
          <w:b/>
          <w:bCs/>
          <w:i/>
          <w:iCs/>
        </w:rPr>
      </w:pPr>
      <w:r>
        <w:rPr>
          <w:b/>
          <w:bCs/>
          <w:i/>
          <w:iCs/>
        </w:rPr>
        <w:t xml:space="preserve">1) аудиторскими организациями, руководители и иные должностные лица которых являются учредителями (участниками) аудируемых лиц, их должностными лицами, бухгалтерами и иными лицами, несущими ответственность за организацию и ведение бухгалтерского учета и составление бухгалтерской (финансовой) отчетности; </w:t>
      </w:r>
    </w:p>
    <w:p w:rsidR="005E0AC2" w:rsidRDefault="005E0AC2" w:rsidP="005E0AC2">
      <w:pPr>
        <w:pStyle w:val="ConsPlusNormal"/>
        <w:ind w:firstLine="540"/>
        <w:jc w:val="both"/>
        <w:rPr>
          <w:b/>
          <w:bCs/>
          <w:i/>
          <w:iCs/>
        </w:rPr>
      </w:pPr>
      <w:r>
        <w:rPr>
          <w:b/>
          <w:bCs/>
          <w:i/>
          <w:iCs/>
        </w:rPr>
        <w:t xml:space="preserve">2) аудиторскими организациями, руководители и иные должностные лица которых состоят в близком родстве (родители, супруги, братья, сестры, дети, а также братья, сестры, родители и дети супругов) с учредителями (участниками) аудируемых лиц, их должностными лицами, бухгалтерами и иными лицами, несущими ответственность за организацию и ведение бухгалтерского учета и составление бухгалтерской (финансовой) отчетности; </w:t>
      </w:r>
    </w:p>
    <w:p w:rsidR="005E0AC2" w:rsidRDefault="005E0AC2" w:rsidP="005E0AC2">
      <w:pPr>
        <w:pStyle w:val="ConsPlusNormal"/>
        <w:ind w:firstLine="540"/>
        <w:jc w:val="both"/>
        <w:rPr>
          <w:b/>
          <w:bCs/>
          <w:i/>
          <w:iCs/>
        </w:rPr>
      </w:pPr>
      <w:r>
        <w:rPr>
          <w:b/>
          <w:bCs/>
          <w:i/>
          <w:iCs/>
        </w:rPr>
        <w:t xml:space="preserve">3) аудиторскими организациями в отношении аудируемых лиц, являющихся их учредителями (участниками), в отношении аудируемых лиц, для которых эти аудиторские организации являются учредителями (участниками), в отношении дочерних обществ, филиалов и представительств указанных аудируемых лиц, а также в отношении организаций, имеющих общих с этой аудиторской организацией учредителей (участников); </w:t>
      </w:r>
    </w:p>
    <w:p w:rsidR="005E0AC2" w:rsidRDefault="005E0AC2" w:rsidP="005E0AC2">
      <w:pPr>
        <w:pStyle w:val="ConsPlusNormal"/>
        <w:ind w:firstLine="540"/>
        <w:jc w:val="both"/>
        <w:rPr>
          <w:b/>
          <w:bCs/>
          <w:i/>
          <w:iCs/>
        </w:rPr>
      </w:pPr>
      <w:r>
        <w:rPr>
          <w:b/>
          <w:bCs/>
          <w:i/>
          <w:iCs/>
        </w:rPr>
        <w:t xml:space="preserve">4) аудиторскими организациями, индивидуальными аудиторами, оказывавшими в течение трех лет, непосредственно предшествовавших проведению аудита, услуги по восстановлению и ведению бухгалтерского учета, а также по составлению бухгалтерской (финансовой) отчетности физическим и юридическим лицам, в отношении этих лиц; </w:t>
      </w:r>
    </w:p>
    <w:p w:rsidR="005E0AC2" w:rsidRDefault="005E0AC2" w:rsidP="005E0AC2">
      <w:pPr>
        <w:pStyle w:val="ConsPlusNormal"/>
        <w:ind w:firstLine="540"/>
        <w:jc w:val="both"/>
        <w:rPr>
          <w:b/>
          <w:bCs/>
          <w:i/>
          <w:iCs/>
        </w:rPr>
      </w:pPr>
      <w:r>
        <w:rPr>
          <w:b/>
          <w:bCs/>
          <w:i/>
          <w:iCs/>
        </w:rPr>
        <w:t xml:space="preserve">5) аудиторами, являющимися учредителями (участниками) аудируемых лиц, их руководителями, бухгалтерами и иными лицами, несущими ответственность за организацию и ведение бухгалтерского учета и составление бухгалтерской (финансовой) отчетности; </w:t>
      </w:r>
    </w:p>
    <w:p w:rsidR="005E0AC2" w:rsidRDefault="005E0AC2" w:rsidP="005E0AC2">
      <w:pPr>
        <w:pStyle w:val="ConsPlusNormal"/>
        <w:ind w:firstLine="540"/>
        <w:jc w:val="both"/>
        <w:rPr>
          <w:b/>
          <w:bCs/>
          <w:i/>
          <w:iCs/>
        </w:rPr>
      </w:pPr>
      <w:r>
        <w:rPr>
          <w:b/>
          <w:bCs/>
          <w:i/>
          <w:iCs/>
        </w:rPr>
        <w:t xml:space="preserve">6) аудиторами, состоящими с учредителями (участниками) аудируемых лиц, их должностными лицами, бухгалтерами и иными лицами, несущими ответственность за организацию и ведение бухгалтерского учета и составление бухгалтерской (финансовой) отчетности, в близком родстве (родители, супруги, братья, сестры, дети, а также братья, сестры, родители и дети супругов). </w:t>
      </w:r>
    </w:p>
    <w:p w:rsidR="005E0AC2" w:rsidRDefault="005E0AC2" w:rsidP="005E0AC2">
      <w:pPr>
        <w:pStyle w:val="ConsPlusNormal"/>
        <w:ind w:firstLine="540"/>
        <w:jc w:val="both"/>
        <w:rPr>
          <w:b/>
          <w:bCs/>
          <w:i/>
          <w:iCs/>
        </w:rPr>
      </w:pPr>
      <w:r>
        <w:rPr>
          <w:b/>
          <w:bCs/>
          <w:i/>
          <w:iCs/>
        </w:rPr>
        <w:t xml:space="preserve">Основной мерой, предпринятой </w:t>
      </w:r>
      <w:r w:rsidR="009E7AD9">
        <w:rPr>
          <w:b/>
          <w:bCs/>
          <w:i/>
          <w:iCs/>
        </w:rPr>
        <w:t xml:space="preserve">Эмитентом </w:t>
      </w:r>
      <w:r>
        <w:rPr>
          <w:b/>
          <w:bCs/>
          <w:i/>
          <w:iCs/>
        </w:rPr>
        <w:t xml:space="preserve">для снижения зависимости друг от друга, является процесс тщательного рассмотрения кандидатуры аудитора на предмет его независимости от Эмитента. Аудитор является полностью независимым от органов управления </w:t>
      </w:r>
      <w:r w:rsidR="009E7AD9">
        <w:rPr>
          <w:b/>
          <w:bCs/>
          <w:i/>
          <w:iCs/>
        </w:rPr>
        <w:t xml:space="preserve">Эмитента </w:t>
      </w:r>
      <w:r>
        <w:rPr>
          <w:b/>
          <w:bCs/>
          <w:i/>
          <w:iCs/>
        </w:rPr>
        <w:t xml:space="preserve">в соответствии с требованиями </w:t>
      </w:r>
      <w:r w:rsidR="0071209D">
        <w:rPr>
          <w:b/>
          <w:bCs/>
          <w:i/>
          <w:iCs/>
        </w:rPr>
        <w:t>Закона об аудиторской деятельности</w:t>
      </w:r>
      <w:r>
        <w:rPr>
          <w:b/>
          <w:bCs/>
          <w:i/>
          <w:iCs/>
        </w:rPr>
        <w:t>; размер вознаграждения аудитора не ставился в зависимость от результатов проведенной проверки.</w:t>
      </w:r>
    </w:p>
    <w:p w:rsidR="007A47A2" w:rsidRDefault="007A47A2" w:rsidP="005E0AC2">
      <w:pPr>
        <w:pStyle w:val="ConsPlusNormal"/>
        <w:ind w:firstLine="540"/>
        <w:jc w:val="both"/>
        <w:rPr>
          <w:rFonts w:ascii="Times New Roman" w:hAnsi="Times New Roman" w:cs="Times New Roman"/>
        </w:rPr>
      </w:pPr>
    </w:p>
    <w:p w:rsidR="005E0AC2" w:rsidRDefault="005E0AC2" w:rsidP="005E0AC2">
      <w:pPr>
        <w:pStyle w:val="ConsPlusNormal"/>
        <w:ind w:firstLine="540"/>
        <w:jc w:val="both"/>
        <w:rPr>
          <w:rFonts w:ascii="Times New Roman" w:hAnsi="Times New Roman" w:cs="Times New Roman"/>
        </w:rPr>
      </w:pPr>
      <w:r>
        <w:rPr>
          <w:rFonts w:ascii="Times New Roman" w:hAnsi="Times New Roman" w:cs="Times New Roman"/>
        </w:rPr>
        <w:t>Описывается порядок выбора аудитора (аудиторской организации) эмитента:</w:t>
      </w:r>
    </w:p>
    <w:p w:rsidR="007A47A2" w:rsidRDefault="007A47A2" w:rsidP="005E0AC2">
      <w:pPr>
        <w:ind w:firstLine="540"/>
        <w:jc w:val="both"/>
      </w:pPr>
    </w:p>
    <w:p w:rsidR="005E0AC2" w:rsidRDefault="005E0AC2" w:rsidP="005E0AC2">
      <w:pPr>
        <w:ind w:firstLine="540"/>
        <w:jc w:val="both"/>
        <w:rPr>
          <w:rFonts w:ascii="Arial" w:eastAsiaTheme="minorHAnsi" w:hAnsi="Arial" w:cs="Arial"/>
          <w:b/>
          <w:bCs/>
          <w:i/>
          <w:iCs/>
          <w:lang w:eastAsia="en-US"/>
        </w:rPr>
      </w:pPr>
      <w:r>
        <w:t>наличие процедуры тендера, связанного с выбором аудитора (аудиторской организации), и его основные условия:</w:t>
      </w:r>
      <w:r>
        <w:rPr>
          <w:bCs/>
          <w:iCs/>
        </w:rPr>
        <w:t xml:space="preserve"> </w:t>
      </w:r>
      <w:r>
        <w:rPr>
          <w:rFonts w:ascii="Arial" w:eastAsiaTheme="minorHAnsi" w:hAnsi="Arial" w:cs="Arial"/>
          <w:b/>
          <w:i/>
          <w:lang w:eastAsia="en-US"/>
        </w:rPr>
        <w:t>наличие процедуры тендера, связанного с выбором аудитора, не предусмотрено.</w:t>
      </w:r>
    </w:p>
    <w:p w:rsidR="007A47A2" w:rsidRDefault="007A47A2" w:rsidP="005E0AC2">
      <w:pPr>
        <w:ind w:firstLine="540"/>
        <w:jc w:val="both"/>
      </w:pPr>
    </w:p>
    <w:p w:rsidR="005E0AC2" w:rsidRDefault="005E0AC2" w:rsidP="005E0AC2">
      <w:pPr>
        <w:ind w:firstLine="540"/>
        <w:jc w:val="both"/>
        <w:rPr>
          <w:rFonts w:ascii="Arial" w:eastAsiaTheme="minorHAnsi" w:hAnsi="Arial" w:cs="Arial"/>
          <w:b/>
          <w:i/>
          <w:lang w:eastAsia="en-US"/>
        </w:rPr>
      </w:pPr>
      <w:r>
        <w:t xml:space="preserve">процедура выдвижения кандидатуры аудитора (аудиторской организации) для утверждения общим собранием акционеров (участников), в том числе орган управления, принимающий соответствующее решение: </w:t>
      </w:r>
      <w:r>
        <w:rPr>
          <w:rFonts w:ascii="Arial" w:eastAsiaTheme="minorHAnsi" w:hAnsi="Arial" w:cs="Arial"/>
          <w:b/>
          <w:i/>
          <w:lang w:eastAsia="en-US"/>
        </w:rPr>
        <w:t xml:space="preserve">В соответствии с Уставом Эмитента (раздел 8, п.8.5) утверждение аудитора </w:t>
      </w:r>
      <w:r w:rsidR="0071209D">
        <w:rPr>
          <w:rFonts w:ascii="Arial" w:eastAsiaTheme="minorHAnsi" w:hAnsi="Arial" w:cs="Arial"/>
          <w:b/>
          <w:i/>
          <w:lang w:eastAsia="en-US"/>
        </w:rPr>
        <w:t xml:space="preserve">Эмитента </w:t>
      </w:r>
      <w:r>
        <w:rPr>
          <w:rFonts w:ascii="Arial" w:eastAsiaTheme="minorHAnsi" w:hAnsi="Arial" w:cs="Arial"/>
          <w:b/>
          <w:i/>
          <w:lang w:eastAsia="en-US"/>
        </w:rPr>
        <w:t>относится к компетенции Общего собрания акционеров. Кандидатура аудитора предложена Советом директоров Эмитента.</w:t>
      </w:r>
    </w:p>
    <w:p w:rsidR="007A47A2" w:rsidRDefault="007A47A2" w:rsidP="005E0AC2">
      <w:pPr>
        <w:ind w:firstLine="540"/>
        <w:jc w:val="both"/>
      </w:pPr>
    </w:p>
    <w:p w:rsidR="005E0AC2" w:rsidRDefault="005E0AC2" w:rsidP="005E0AC2">
      <w:pPr>
        <w:ind w:firstLine="540"/>
        <w:jc w:val="both"/>
        <w:rPr>
          <w:rFonts w:ascii="Arial" w:eastAsiaTheme="minorHAnsi" w:hAnsi="Arial" w:cs="Arial"/>
          <w:b/>
          <w:i/>
          <w:lang w:eastAsia="en-US"/>
        </w:rPr>
      </w:pPr>
      <w:r>
        <w:t>Указывается информация о работах, проводимых аудитором (аудиторской организацией) в рамках специальных аудиторских заданий:</w:t>
      </w:r>
      <w:r>
        <w:rPr>
          <w:rFonts w:ascii="Arial" w:eastAsiaTheme="minorHAnsi" w:hAnsi="Arial" w:cs="Arial"/>
          <w:b/>
          <w:i/>
          <w:lang w:eastAsia="en-US"/>
        </w:rPr>
        <w:t xml:space="preserve"> работ аудитора, в рамках специальных аудиторских заданий, не проводилось.</w:t>
      </w:r>
    </w:p>
    <w:p w:rsidR="007A47A2" w:rsidRDefault="007A47A2" w:rsidP="00DB1393">
      <w:pPr>
        <w:widowControl/>
        <w:spacing w:before="0" w:after="0"/>
        <w:ind w:firstLine="567"/>
        <w:jc w:val="both"/>
      </w:pPr>
    </w:p>
    <w:p w:rsidR="005E0AC2" w:rsidRDefault="005E0AC2" w:rsidP="00DB1393">
      <w:pPr>
        <w:widowControl/>
        <w:spacing w:before="0" w:after="0"/>
        <w:ind w:firstLine="567"/>
        <w:jc w:val="both"/>
        <w:rPr>
          <w:rFonts w:ascii="TimesNewRomanPS-BoldItalicMT" w:eastAsiaTheme="minorHAnsi" w:hAnsi="TimesNewRomanPS-BoldItalicMT" w:cs="TimesNewRomanPS-BoldItalicMT"/>
          <w:b/>
          <w:bCs/>
          <w:i/>
          <w:iCs/>
          <w:lang w:eastAsia="en-US"/>
        </w:rPr>
      </w:pPr>
      <w:r>
        <w:t xml:space="preserve">Описывается порядок определения размера вознаграждения аудитора (аудиторской организации), указывается фактический размер вознаграждения, выплаченного эмитентом аудитору (аудиторской организации) по итогам последнего завершенного отчетного года, за который аудитором проводилась независимая проверка годовой бухгалтерской (финансовой) отчетности и (или) годовой консолидированной финансовой отчетности эмитента, приводится информация о наличии отсроченных и просроченных платежей за оказанные аудитором (аудиторской организацией) услуги: </w:t>
      </w:r>
      <w:r w:rsidR="00D266D9" w:rsidRPr="000D5772">
        <w:rPr>
          <w:rFonts w:ascii="Arial" w:hAnsi="Arial" w:cs="Arial"/>
          <w:b/>
          <w:i/>
        </w:rPr>
        <w:t>в соответствии с пп. 10 п.1 ст. 65</w:t>
      </w:r>
      <w:r w:rsidR="00D266D9" w:rsidRPr="00D266D9">
        <w:rPr>
          <w:rFonts w:ascii="Arial" w:hAnsi="Arial" w:cs="Arial"/>
          <w:b/>
          <w:i/>
        </w:rPr>
        <w:t xml:space="preserve"> Закон</w:t>
      </w:r>
      <w:r w:rsidR="00142B05">
        <w:rPr>
          <w:rFonts w:ascii="Arial" w:hAnsi="Arial" w:cs="Arial"/>
          <w:b/>
          <w:i/>
        </w:rPr>
        <w:t>а</w:t>
      </w:r>
      <w:r w:rsidR="00D266D9" w:rsidRPr="00D266D9">
        <w:rPr>
          <w:rFonts w:ascii="Arial" w:hAnsi="Arial" w:cs="Arial"/>
          <w:b/>
          <w:i/>
        </w:rPr>
        <w:t xml:space="preserve"> об акционерных обществах к компетенции Совета директоров общества относится вопрос определения размере оплаты услуг аудитора. </w:t>
      </w:r>
      <w:r>
        <w:rPr>
          <w:rFonts w:ascii="TimesNewRomanPS-BoldItalicMT" w:eastAsiaTheme="minorHAnsi" w:hAnsi="TimesNewRomanPS-BoldItalicMT" w:cs="TimesNewRomanPS-BoldItalicMT"/>
          <w:b/>
          <w:bCs/>
          <w:i/>
          <w:iCs/>
          <w:lang w:eastAsia="en-US"/>
        </w:rPr>
        <w:t xml:space="preserve">В соответствии с пп.8, п. 9.2. раздела 9 Устава Эмитента, определение размера оплаты услуг аудитора относится к компетенции Совета директоров </w:t>
      </w:r>
      <w:r w:rsidR="0071209D">
        <w:rPr>
          <w:rFonts w:ascii="TimesNewRomanPS-BoldItalicMT" w:eastAsiaTheme="minorHAnsi" w:hAnsi="TimesNewRomanPS-BoldItalicMT" w:cs="TimesNewRomanPS-BoldItalicMT"/>
          <w:b/>
          <w:bCs/>
          <w:i/>
          <w:iCs/>
          <w:lang w:eastAsia="en-US"/>
        </w:rPr>
        <w:t>Эмитента</w:t>
      </w:r>
      <w:r w:rsidR="00DB1393">
        <w:rPr>
          <w:rFonts w:ascii="TimesNewRomanPS-BoldItalicMT" w:eastAsiaTheme="minorHAnsi" w:hAnsi="TimesNewRomanPS-BoldItalicMT" w:cs="TimesNewRomanPS-BoldItalicMT"/>
          <w:b/>
          <w:bCs/>
          <w:i/>
          <w:iCs/>
          <w:lang w:eastAsia="en-US"/>
        </w:rPr>
        <w:t>.</w:t>
      </w:r>
      <w:r w:rsidR="0071209D">
        <w:rPr>
          <w:rFonts w:ascii="TimesNewRomanPS-BoldItalicMT" w:eastAsiaTheme="minorHAnsi" w:hAnsi="TimesNewRomanPS-BoldItalicMT" w:cs="TimesNewRomanPS-BoldItalicMT"/>
          <w:b/>
          <w:bCs/>
          <w:i/>
          <w:iCs/>
          <w:lang w:eastAsia="en-US"/>
        </w:rPr>
        <w:t xml:space="preserve"> Размер вознаграждения аудитора определяется соглашением сторон</w:t>
      </w:r>
      <w:r w:rsidR="00DB1393">
        <w:rPr>
          <w:rFonts w:ascii="TimesNewRomanPS-BoldItalicMT" w:eastAsiaTheme="minorHAnsi" w:hAnsi="TimesNewRomanPS-BoldItalicMT" w:cs="TimesNewRomanPS-BoldItalicMT"/>
          <w:b/>
          <w:bCs/>
          <w:i/>
          <w:iCs/>
          <w:lang w:eastAsia="en-US"/>
        </w:rPr>
        <w:t>.</w:t>
      </w:r>
    </w:p>
    <w:p w:rsidR="005E0AC2" w:rsidRDefault="00DB1393" w:rsidP="005E0AC2">
      <w:pPr>
        <w:pStyle w:val="ConsPlusNormal"/>
        <w:ind w:firstLine="567"/>
        <w:jc w:val="both"/>
        <w:rPr>
          <w:b/>
          <w:bCs/>
          <w:i/>
          <w:iCs/>
        </w:rPr>
      </w:pPr>
      <w:r>
        <w:rPr>
          <w:rFonts w:ascii="TimesNewRomanPS-BoldItalicMT" w:hAnsi="TimesNewRomanPS-BoldItalicMT" w:cs="TimesNewRomanPS-BoldItalicMT"/>
          <w:b/>
          <w:bCs/>
          <w:i/>
          <w:iCs/>
        </w:rPr>
        <w:t>Общая сумма ф</w:t>
      </w:r>
      <w:r w:rsidR="005E0AC2">
        <w:rPr>
          <w:b/>
          <w:i/>
        </w:rPr>
        <w:t>актически</w:t>
      </w:r>
      <w:r>
        <w:rPr>
          <w:b/>
          <w:i/>
        </w:rPr>
        <w:t>х</w:t>
      </w:r>
      <w:r w:rsidR="005E0AC2">
        <w:rPr>
          <w:b/>
          <w:i/>
        </w:rPr>
        <w:t xml:space="preserve"> размер</w:t>
      </w:r>
      <w:r>
        <w:rPr>
          <w:b/>
          <w:i/>
        </w:rPr>
        <w:t>ов</w:t>
      </w:r>
      <w:r w:rsidR="005E0AC2">
        <w:rPr>
          <w:b/>
          <w:i/>
        </w:rPr>
        <w:t xml:space="preserve"> вознаграждени</w:t>
      </w:r>
      <w:r>
        <w:rPr>
          <w:b/>
          <w:i/>
        </w:rPr>
        <w:t>й</w:t>
      </w:r>
      <w:r w:rsidR="005E0AC2">
        <w:rPr>
          <w:b/>
          <w:i/>
        </w:rPr>
        <w:t>, выплаченн</w:t>
      </w:r>
      <w:r>
        <w:rPr>
          <w:b/>
          <w:i/>
        </w:rPr>
        <w:t>ых</w:t>
      </w:r>
      <w:r w:rsidR="005E0AC2">
        <w:rPr>
          <w:b/>
          <w:i/>
        </w:rPr>
        <w:t xml:space="preserve"> </w:t>
      </w:r>
      <w:r w:rsidR="001728D9">
        <w:rPr>
          <w:b/>
          <w:i/>
        </w:rPr>
        <w:t>Э</w:t>
      </w:r>
      <w:r w:rsidR="005E0AC2">
        <w:rPr>
          <w:b/>
          <w:i/>
        </w:rPr>
        <w:t>митентом</w:t>
      </w:r>
      <w:r w:rsidR="005E0AC2">
        <w:rPr>
          <w:rFonts w:ascii="Times New Roman" w:hAnsi="Times New Roman" w:cs="Times New Roman"/>
        </w:rPr>
        <w:t xml:space="preserve"> </w:t>
      </w:r>
      <w:r w:rsidR="005E0AC2">
        <w:rPr>
          <w:b/>
          <w:i/>
        </w:rPr>
        <w:t>аудиторской организации за</w:t>
      </w:r>
      <w:r w:rsidR="005E0AC2">
        <w:rPr>
          <w:b/>
          <w:bCs/>
          <w:i/>
          <w:iCs/>
        </w:rPr>
        <w:t xml:space="preserve"> </w:t>
      </w:r>
      <w:r w:rsidR="002740C1">
        <w:rPr>
          <w:b/>
          <w:bCs/>
          <w:i/>
          <w:iCs/>
        </w:rPr>
        <w:t xml:space="preserve">оказание услуг аудитора по </w:t>
      </w:r>
      <w:r w:rsidR="005E0AC2">
        <w:rPr>
          <w:b/>
          <w:bCs/>
          <w:i/>
          <w:iCs/>
        </w:rPr>
        <w:t>проверк</w:t>
      </w:r>
      <w:r w:rsidR="002740C1">
        <w:rPr>
          <w:b/>
          <w:bCs/>
          <w:i/>
          <w:iCs/>
        </w:rPr>
        <w:t>е</w:t>
      </w:r>
      <w:r w:rsidR="005E0AC2">
        <w:rPr>
          <w:b/>
          <w:bCs/>
          <w:i/>
          <w:iCs/>
        </w:rPr>
        <w:t xml:space="preserve"> консолидированной финансовой отчетности Эмитента, составленной в соответствии с Международными стандартами финансовой отчетности</w:t>
      </w:r>
      <w:r w:rsidR="0071209D">
        <w:rPr>
          <w:b/>
          <w:bCs/>
          <w:i/>
          <w:iCs/>
        </w:rPr>
        <w:t xml:space="preserve"> (МСФО)</w:t>
      </w:r>
      <w:r w:rsidR="00096BB6">
        <w:rPr>
          <w:b/>
          <w:bCs/>
          <w:i/>
          <w:iCs/>
        </w:rPr>
        <w:t xml:space="preserve">, </w:t>
      </w:r>
      <w:r>
        <w:rPr>
          <w:b/>
          <w:bCs/>
          <w:i/>
          <w:iCs/>
        </w:rPr>
        <w:t>и</w:t>
      </w:r>
      <w:r w:rsidR="00096BB6">
        <w:rPr>
          <w:b/>
          <w:i/>
        </w:rPr>
        <w:t xml:space="preserve"> </w:t>
      </w:r>
      <w:r w:rsidR="002740C1">
        <w:rPr>
          <w:b/>
          <w:i/>
        </w:rPr>
        <w:t>по</w:t>
      </w:r>
      <w:r w:rsidR="00096BB6">
        <w:rPr>
          <w:b/>
          <w:i/>
        </w:rPr>
        <w:t xml:space="preserve"> проверк</w:t>
      </w:r>
      <w:r w:rsidR="002740C1">
        <w:rPr>
          <w:b/>
          <w:i/>
        </w:rPr>
        <w:t>е</w:t>
      </w:r>
      <w:r w:rsidR="00096BB6">
        <w:rPr>
          <w:b/>
          <w:i/>
        </w:rPr>
        <w:t xml:space="preserve"> </w:t>
      </w:r>
      <w:r w:rsidR="00096BB6" w:rsidRPr="00A72ACD">
        <w:rPr>
          <w:b/>
          <w:i/>
        </w:rPr>
        <w:t>отдельной</w:t>
      </w:r>
      <w:r w:rsidR="00096BB6">
        <w:rPr>
          <w:b/>
          <w:i/>
        </w:rPr>
        <w:t xml:space="preserve"> финансовой отчетности Эмитента, составленной в соответствии с Международными стандартами финансовой отчетности</w:t>
      </w:r>
      <w:r w:rsidR="0071209D">
        <w:rPr>
          <w:b/>
          <w:i/>
        </w:rPr>
        <w:t xml:space="preserve"> (МСФО):</w:t>
      </w:r>
    </w:p>
    <w:p w:rsidR="005E0AC2" w:rsidRDefault="00CD4CBC" w:rsidP="00CD4CBC">
      <w:pPr>
        <w:pStyle w:val="ConsPlusNormal"/>
        <w:numPr>
          <w:ilvl w:val="0"/>
          <w:numId w:val="1"/>
        </w:numPr>
        <w:ind w:left="0" w:firstLine="567"/>
        <w:jc w:val="both"/>
        <w:rPr>
          <w:b/>
          <w:i/>
        </w:rPr>
      </w:pPr>
      <w:r>
        <w:rPr>
          <w:b/>
          <w:i/>
        </w:rPr>
        <w:t>з</w:t>
      </w:r>
      <w:r w:rsidR="005E0AC2">
        <w:rPr>
          <w:b/>
          <w:i/>
        </w:rPr>
        <w:t xml:space="preserve">а 2012 год – </w:t>
      </w:r>
      <w:r w:rsidR="00096BB6" w:rsidRPr="00096BB6">
        <w:rPr>
          <w:rStyle w:val="Subst"/>
          <w:bCs/>
          <w:iCs/>
        </w:rPr>
        <w:t>3 264</w:t>
      </w:r>
      <w:r w:rsidR="00096BB6">
        <w:rPr>
          <w:rStyle w:val="Subst"/>
          <w:bCs/>
          <w:iCs/>
        </w:rPr>
        <w:t> </w:t>
      </w:r>
      <w:r w:rsidR="00096BB6" w:rsidRPr="00096BB6">
        <w:rPr>
          <w:rStyle w:val="Subst"/>
          <w:bCs/>
          <w:iCs/>
        </w:rPr>
        <w:t>000</w:t>
      </w:r>
      <w:r w:rsidR="00096BB6">
        <w:rPr>
          <w:rStyle w:val="Subst"/>
          <w:bCs/>
          <w:iCs/>
        </w:rPr>
        <w:t xml:space="preserve"> </w:t>
      </w:r>
      <w:r w:rsidR="005E0AC2" w:rsidRPr="00096BB6">
        <w:rPr>
          <w:rStyle w:val="Subst"/>
          <w:bCs/>
          <w:iCs/>
        </w:rPr>
        <w:t>руб</w:t>
      </w:r>
      <w:r w:rsidR="005E0AC2">
        <w:rPr>
          <w:b/>
          <w:i/>
        </w:rPr>
        <w:t xml:space="preserve">. </w:t>
      </w:r>
    </w:p>
    <w:p w:rsidR="00096BB6" w:rsidRDefault="00096BB6" w:rsidP="005E0AC2">
      <w:pPr>
        <w:pStyle w:val="ConsPlusNormal"/>
        <w:ind w:firstLine="540"/>
        <w:jc w:val="both"/>
        <w:rPr>
          <w:b/>
          <w:i/>
        </w:rPr>
      </w:pPr>
      <w:r>
        <w:rPr>
          <w:b/>
          <w:i/>
        </w:rPr>
        <w:t xml:space="preserve">Фактический размер вознаграждения, выплаченного </w:t>
      </w:r>
      <w:r w:rsidR="0071209D">
        <w:rPr>
          <w:b/>
          <w:i/>
        </w:rPr>
        <w:t>Эмитентом</w:t>
      </w:r>
      <w:r w:rsidR="0071209D">
        <w:rPr>
          <w:rFonts w:ascii="Times New Roman" w:hAnsi="Times New Roman" w:cs="Times New Roman"/>
        </w:rPr>
        <w:t xml:space="preserve"> </w:t>
      </w:r>
      <w:r>
        <w:rPr>
          <w:b/>
          <w:i/>
        </w:rPr>
        <w:t>аудиторской организации за</w:t>
      </w:r>
      <w:r w:rsidR="002740C1">
        <w:rPr>
          <w:b/>
          <w:i/>
        </w:rPr>
        <w:t xml:space="preserve"> оказание услуг аудитора по</w:t>
      </w:r>
      <w:r>
        <w:rPr>
          <w:b/>
          <w:bCs/>
          <w:i/>
          <w:iCs/>
        </w:rPr>
        <w:t xml:space="preserve"> проверк</w:t>
      </w:r>
      <w:r w:rsidR="002740C1">
        <w:rPr>
          <w:b/>
          <w:bCs/>
          <w:i/>
          <w:iCs/>
        </w:rPr>
        <w:t>е</w:t>
      </w:r>
      <w:r>
        <w:rPr>
          <w:b/>
          <w:bCs/>
          <w:i/>
          <w:iCs/>
        </w:rPr>
        <w:t xml:space="preserve"> консолидированной финансовой отчетности Эмитента, составленной в соответствии с Международными стандартами финансовой отчетности </w:t>
      </w:r>
      <w:r w:rsidR="0071209D">
        <w:rPr>
          <w:b/>
          <w:bCs/>
          <w:i/>
          <w:iCs/>
        </w:rPr>
        <w:t>(МСФО)</w:t>
      </w:r>
      <w:r>
        <w:rPr>
          <w:b/>
          <w:bCs/>
          <w:i/>
          <w:iCs/>
        </w:rPr>
        <w:t>:</w:t>
      </w:r>
    </w:p>
    <w:p w:rsidR="005E0AC2" w:rsidRPr="00CD4CBC" w:rsidRDefault="00CD4CBC" w:rsidP="00CD4CBC">
      <w:pPr>
        <w:pStyle w:val="ConsPlusNormal"/>
        <w:numPr>
          <w:ilvl w:val="0"/>
          <w:numId w:val="1"/>
        </w:numPr>
        <w:ind w:left="0" w:firstLine="567"/>
        <w:jc w:val="both"/>
        <w:rPr>
          <w:b/>
          <w:i/>
        </w:rPr>
      </w:pPr>
      <w:r>
        <w:rPr>
          <w:b/>
          <w:i/>
        </w:rPr>
        <w:t>з</w:t>
      </w:r>
      <w:r w:rsidR="005E0AC2">
        <w:rPr>
          <w:b/>
          <w:i/>
        </w:rPr>
        <w:t xml:space="preserve">а 2013 год – </w:t>
      </w:r>
      <w:r w:rsidR="00096BB6" w:rsidRPr="00F60941">
        <w:rPr>
          <w:b/>
          <w:i/>
        </w:rPr>
        <w:t xml:space="preserve">3 407 300 </w:t>
      </w:r>
      <w:r w:rsidR="005E0AC2" w:rsidRPr="00CD4CBC">
        <w:rPr>
          <w:b/>
          <w:i/>
        </w:rPr>
        <w:t>руб.</w:t>
      </w:r>
    </w:p>
    <w:p w:rsidR="005E0AC2" w:rsidRDefault="005E0AC2" w:rsidP="005E0AC2">
      <w:pPr>
        <w:pStyle w:val="ConsPlusNormal"/>
        <w:ind w:firstLine="540"/>
        <w:jc w:val="both"/>
        <w:rPr>
          <w:b/>
          <w:i/>
        </w:rPr>
      </w:pPr>
      <w:r>
        <w:rPr>
          <w:b/>
          <w:i/>
        </w:rPr>
        <w:t>Отсроченных и просроченных платежей за оказанные аудитором (аудиторской организацией) услуги за 2012</w:t>
      </w:r>
      <w:r w:rsidR="0071209D">
        <w:rPr>
          <w:b/>
          <w:i/>
        </w:rPr>
        <w:t xml:space="preserve"> и </w:t>
      </w:r>
      <w:r>
        <w:rPr>
          <w:b/>
          <w:i/>
        </w:rPr>
        <w:t>2013 год</w:t>
      </w:r>
      <w:r w:rsidR="0011688F">
        <w:rPr>
          <w:b/>
          <w:i/>
        </w:rPr>
        <w:t>ы</w:t>
      </w:r>
      <w:r>
        <w:rPr>
          <w:b/>
          <w:i/>
        </w:rPr>
        <w:t xml:space="preserve"> нет.</w:t>
      </w:r>
    </w:p>
    <w:p w:rsidR="005E0AC2" w:rsidRDefault="005E0AC2" w:rsidP="005E0AC2">
      <w:pPr>
        <w:pStyle w:val="ConsPlusNormal"/>
        <w:ind w:firstLine="540"/>
        <w:jc w:val="both"/>
        <w:rPr>
          <w:rFonts w:ascii="Times New Roman" w:hAnsi="Times New Roman" w:cs="Times New Roman"/>
        </w:rPr>
      </w:pPr>
    </w:p>
    <w:p w:rsidR="005E0AC2" w:rsidRDefault="005E0AC2" w:rsidP="005E0AC2">
      <w:pPr>
        <w:ind w:firstLine="567"/>
        <w:jc w:val="both"/>
        <w:rPr>
          <w:rStyle w:val="Subst"/>
          <w:rFonts w:ascii="Arial" w:eastAsiaTheme="minorHAnsi" w:hAnsi="Arial" w:cs="Arial"/>
          <w:bCs/>
          <w:iCs/>
          <w:lang w:eastAsia="en-US"/>
        </w:rPr>
      </w:pPr>
      <w:r>
        <w:t xml:space="preserve">3. полное фирменное наименование аудиторской организации: </w:t>
      </w:r>
      <w:r>
        <w:rPr>
          <w:rStyle w:val="Subst"/>
          <w:rFonts w:ascii="Arial" w:eastAsiaTheme="minorHAnsi" w:hAnsi="Arial" w:cs="Arial"/>
          <w:bCs/>
          <w:iCs/>
          <w:lang w:eastAsia="en-US"/>
        </w:rPr>
        <w:t>Акционерное общество «КПМГ»</w:t>
      </w:r>
    </w:p>
    <w:p w:rsidR="005E0AC2" w:rsidRDefault="005E0AC2" w:rsidP="005E0AC2">
      <w:pPr>
        <w:ind w:firstLine="567"/>
        <w:jc w:val="both"/>
        <w:rPr>
          <w:rStyle w:val="Subst"/>
          <w:rFonts w:ascii="Arial" w:eastAsiaTheme="minorHAnsi" w:hAnsi="Arial" w:cs="Arial"/>
          <w:bCs/>
          <w:iCs/>
          <w:lang w:eastAsia="en-US"/>
        </w:rPr>
      </w:pPr>
      <w:r>
        <w:t xml:space="preserve">сокращенное фирменное наименование аудиторской организации: </w:t>
      </w:r>
      <w:r>
        <w:rPr>
          <w:rStyle w:val="Subst"/>
          <w:rFonts w:ascii="Arial" w:eastAsiaTheme="minorHAnsi" w:hAnsi="Arial" w:cs="Arial"/>
          <w:bCs/>
          <w:iCs/>
          <w:lang w:eastAsia="en-US"/>
        </w:rPr>
        <w:t>АО «КПМГ»</w:t>
      </w:r>
    </w:p>
    <w:p w:rsidR="005E0AC2" w:rsidRDefault="005E0AC2" w:rsidP="005E0AC2">
      <w:pPr>
        <w:ind w:firstLine="567"/>
        <w:jc w:val="both"/>
        <w:rPr>
          <w:rStyle w:val="Subst"/>
          <w:rFonts w:ascii="Arial" w:eastAsiaTheme="minorHAnsi" w:hAnsi="Arial" w:cs="Arial"/>
          <w:bCs/>
          <w:iCs/>
          <w:lang w:eastAsia="en-US"/>
        </w:rPr>
      </w:pPr>
      <w:r>
        <w:t xml:space="preserve">ИНН (если применимо): </w:t>
      </w:r>
      <w:r>
        <w:rPr>
          <w:rStyle w:val="Subst"/>
          <w:rFonts w:ascii="Arial" w:eastAsiaTheme="minorHAnsi" w:hAnsi="Arial" w:cs="Arial"/>
          <w:bCs/>
          <w:iCs/>
          <w:lang w:eastAsia="en-US"/>
        </w:rPr>
        <w:t>7702019950</w:t>
      </w:r>
    </w:p>
    <w:p w:rsidR="005E0AC2" w:rsidRDefault="005E0AC2" w:rsidP="005E0AC2">
      <w:pPr>
        <w:ind w:firstLine="567"/>
        <w:jc w:val="both"/>
        <w:rPr>
          <w:rStyle w:val="Subst"/>
          <w:rFonts w:ascii="Arial" w:eastAsiaTheme="minorHAnsi" w:hAnsi="Arial" w:cs="Arial"/>
          <w:bCs/>
          <w:iCs/>
          <w:lang w:eastAsia="en-US"/>
        </w:rPr>
      </w:pPr>
      <w:r>
        <w:t xml:space="preserve">ОГРН (если применимо): </w:t>
      </w:r>
      <w:r>
        <w:rPr>
          <w:rStyle w:val="Subst"/>
          <w:rFonts w:ascii="Arial" w:eastAsiaTheme="minorHAnsi" w:hAnsi="Arial" w:cs="Arial"/>
          <w:bCs/>
          <w:iCs/>
          <w:lang w:eastAsia="en-US"/>
        </w:rPr>
        <w:t>1027700125628</w:t>
      </w:r>
    </w:p>
    <w:p w:rsidR="005E0AC2" w:rsidRDefault="005E0AC2" w:rsidP="005E0AC2">
      <w:pPr>
        <w:ind w:firstLine="567"/>
        <w:jc w:val="both"/>
        <w:rPr>
          <w:rStyle w:val="Subst"/>
          <w:rFonts w:ascii="Arial" w:eastAsiaTheme="minorHAnsi" w:hAnsi="Arial" w:cs="Arial"/>
          <w:bCs/>
          <w:iCs/>
          <w:lang w:eastAsia="en-US"/>
        </w:rPr>
      </w:pPr>
      <w:r>
        <w:t xml:space="preserve">место нахождения аудиторской организации: </w:t>
      </w:r>
      <w:r>
        <w:rPr>
          <w:rStyle w:val="Subst"/>
          <w:rFonts w:ascii="Arial" w:eastAsiaTheme="minorHAnsi" w:hAnsi="Arial" w:cs="Arial"/>
          <w:bCs/>
          <w:iCs/>
          <w:lang w:eastAsia="en-US"/>
        </w:rPr>
        <w:t>Пресненская набережная, 10, Блок «С», 31 этаж, Москва, Россия, 123317</w:t>
      </w:r>
    </w:p>
    <w:p w:rsidR="005E0AC2" w:rsidRDefault="005E0AC2" w:rsidP="005E0AC2">
      <w:pPr>
        <w:ind w:firstLine="567"/>
        <w:jc w:val="both"/>
        <w:rPr>
          <w:rStyle w:val="Subst"/>
          <w:rFonts w:ascii="Arial" w:eastAsiaTheme="minorHAnsi" w:hAnsi="Arial" w:cs="Arial"/>
          <w:bCs/>
          <w:iCs/>
          <w:lang w:eastAsia="en-US"/>
        </w:rPr>
      </w:pPr>
      <w:r>
        <w:t xml:space="preserve">номер телефона и факса: </w:t>
      </w:r>
      <w:r>
        <w:rPr>
          <w:rStyle w:val="Subst"/>
          <w:rFonts w:ascii="Arial" w:eastAsiaTheme="minorHAnsi" w:hAnsi="Arial" w:cs="Arial"/>
          <w:bCs/>
          <w:iCs/>
          <w:lang w:eastAsia="en-US"/>
        </w:rPr>
        <w:t>+7 (495) 937-4477/ +7 (495) 937-4499</w:t>
      </w:r>
    </w:p>
    <w:p w:rsidR="005E0AC2" w:rsidRDefault="005E0AC2" w:rsidP="005E0AC2">
      <w:pPr>
        <w:ind w:firstLine="567"/>
        <w:jc w:val="both"/>
        <w:rPr>
          <w:rStyle w:val="Subst"/>
          <w:rFonts w:ascii="Arial" w:eastAsiaTheme="minorHAnsi" w:hAnsi="Arial" w:cs="Arial"/>
          <w:bCs/>
          <w:iCs/>
          <w:lang w:eastAsia="en-US"/>
        </w:rPr>
      </w:pPr>
      <w:r>
        <w:t xml:space="preserve">адрес электронной почты (если имеется): </w:t>
      </w:r>
      <w:r>
        <w:rPr>
          <w:rStyle w:val="Subst"/>
          <w:rFonts w:ascii="Arial" w:eastAsiaTheme="minorHAnsi" w:hAnsi="Arial" w:cs="Arial"/>
          <w:bCs/>
          <w:iCs/>
          <w:lang w:eastAsia="en-US"/>
        </w:rPr>
        <w:t>moscow@kpmg.ru</w:t>
      </w:r>
    </w:p>
    <w:p w:rsidR="005E0AC2" w:rsidRDefault="005E0AC2" w:rsidP="005E0AC2">
      <w:pPr>
        <w:ind w:firstLine="567"/>
        <w:jc w:val="both"/>
        <w:rPr>
          <w:rStyle w:val="Subst"/>
          <w:rFonts w:ascii="Arial" w:eastAsiaTheme="minorHAnsi" w:hAnsi="Arial" w:cs="Arial"/>
          <w:bCs/>
          <w:iCs/>
          <w:lang w:eastAsia="en-US"/>
        </w:rPr>
      </w:pPr>
      <w:r>
        <w:t xml:space="preserve">полное наименование саморегулируемой организации аудиторов, членом которой является (являлся) аудитор (аудиторская организация) эмитента: </w:t>
      </w:r>
      <w:r>
        <w:rPr>
          <w:rStyle w:val="Subst"/>
          <w:rFonts w:ascii="Arial" w:eastAsiaTheme="minorHAnsi" w:hAnsi="Arial" w:cs="Arial"/>
          <w:bCs/>
          <w:iCs/>
          <w:lang w:eastAsia="en-US"/>
        </w:rPr>
        <w:t>Саморегулируемая организация аудиторов «Аудиторская Палата России»</w:t>
      </w:r>
      <w:r w:rsidR="001B6D1E">
        <w:rPr>
          <w:rStyle w:val="Subst"/>
          <w:rFonts w:ascii="Arial" w:eastAsiaTheme="minorHAnsi" w:hAnsi="Arial" w:cs="Arial"/>
          <w:bCs/>
          <w:iCs/>
          <w:lang w:eastAsia="en-US"/>
        </w:rPr>
        <w:t xml:space="preserve"> </w:t>
      </w:r>
      <w:r w:rsidR="001B6D1E" w:rsidRPr="00E148E7">
        <w:rPr>
          <w:rStyle w:val="Subst"/>
          <w:rFonts w:ascii="Arial" w:eastAsiaTheme="minorHAnsi" w:hAnsi="Arial" w:cs="Arial"/>
          <w:bCs/>
          <w:iCs/>
          <w:lang w:eastAsia="en-US"/>
        </w:rPr>
        <w:t>(Ассоциация)</w:t>
      </w:r>
    </w:p>
    <w:p w:rsidR="005E0AC2" w:rsidRDefault="005E0AC2" w:rsidP="005E0AC2">
      <w:pPr>
        <w:ind w:left="600"/>
        <w:jc w:val="both"/>
      </w:pPr>
      <w:r>
        <w:t xml:space="preserve">место нахождения саморегулируемой организации аудиторов, членом которой является (являлся) аудитор (аудиторская организация) эмитента: </w:t>
      </w:r>
      <w:r>
        <w:rPr>
          <w:rStyle w:val="Subst"/>
          <w:rFonts w:ascii="Arial" w:eastAsiaTheme="minorHAnsi" w:hAnsi="Arial" w:cs="Arial"/>
          <w:bCs/>
          <w:iCs/>
          <w:lang w:eastAsia="en-US"/>
        </w:rPr>
        <w:t>105120</w:t>
      </w:r>
      <w:r w:rsidR="00142B05">
        <w:rPr>
          <w:rStyle w:val="Subst"/>
          <w:rFonts w:ascii="Arial" w:eastAsiaTheme="minorHAnsi" w:hAnsi="Arial" w:cs="Arial"/>
          <w:bCs/>
          <w:iCs/>
          <w:lang w:eastAsia="en-US"/>
        </w:rPr>
        <w:t>,</w:t>
      </w:r>
      <w:r>
        <w:rPr>
          <w:rStyle w:val="Subst"/>
          <w:rFonts w:ascii="Arial" w:eastAsiaTheme="minorHAnsi" w:hAnsi="Arial" w:cs="Arial"/>
          <w:bCs/>
          <w:iCs/>
          <w:lang w:eastAsia="en-US"/>
        </w:rPr>
        <w:t xml:space="preserve"> Россия, Москва, 3-й Сыромятнический пер. 3/9</w:t>
      </w:r>
      <w:r w:rsidR="00142B05">
        <w:rPr>
          <w:rStyle w:val="Subst"/>
          <w:rFonts w:ascii="Arial" w:eastAsiaTheme="minorHAnsi" w:hAnsi="Arial" w:cs="Arial"/>
          <w:bCs/>
          <w:iCs/>
          <w:lang w:eastAsia="en-US"/>
        </w:rPr>
        <w:t>,</w:t>
      </w:r>
      <w:r>
        <w:rPr>
          <w:rStyle w:val="Subst"/>
          <w:rFonts w:ascii="Arial" w:eastAsiaTheme="minorHAnsi" w:hAnsi="Arial" w:cs="Arial"/>
          <w:bCs/>
          <w:iCs/>
          <w:lang w:eastAsia="en-US"/>
        </w:rPr>
        <w:t xml:space="preserve"> стр. 3</w:t>
      </w:r>
    </w:p>
    <w:p w:rsidR="005E0AC2" w:rsidRDefault="005E0AC2" w:rsidP="005E0AC2">
      <w:pPr>
        <w:ind w:firstLine="567"/>
        <w:jc w:val="both"/>
      </w:pPr>
      <w:r>
        <w:t xml:space="preserve">отчетный год (годы) из числа последних трех завершенных отчетных лет или иной отчетный период, за который (за которые) аудитором (аудиторской организацией) проводилась независимая проверка отчетности эмитента: </w:t>
      </w:r>
      <w:r>
        <w:rPr>
          <w:rStyle w:val="Subst"/>
          <w:rFonts w:ascii="Arial" w:hAnsi="Arial" w:cs="Arial"/>
        </w:rPr>
        <w:t>2014 год</w:t>
      </w:r>
    </w:p>
    <w:p w:rsidR="00B1655E" w:rsidRDefault="005E0AC2" w:rsidP="005E0AC2">
      <w:pPr>
        <w:pStyle w:val="ConsPlusNormal"/>
        <w:ind w:firstLine="567"/>
        <w:jc w:val="both"/>
        <w:rPr>
          <w:rFonts w:ascii="Times New Roman" w:hAnsi="Times New Roman" w:cs="Times New Roman"/>
        </w:rPr>
      </w:pPr>
      <w:r>
        <w:rPr>
          <w:rFonts w:ascii="Times New Roman" w:hAnsi="Times New Roman" w:cs="Times New Roman"/>
        </w:rPr>
        <w:t xml:space="preserve">вид бухгалтерской (финансовой) отчетности эмитента, в отношении которой аудитором (аудиторской организацией) проводилась независимая проверка (бухгалтерская (финансовая) отчетность, консолидированная финансовая отчетность): </w:t>
      </w:r>
    </w:p>
    <w:p w:rsidR="005E0AC2" w:rsidRDefault="00B1655E" w:rsidP="00CD4CBC">
      <w:pPr>
        <w:pStyle w:val="ConsPlusNormal"/>
        <w:numPr>
          <w:ilvl w:val="0"/>
          <w:numId w:val="27"/>
        </w:numPr>
        <w:ind w:left="0" w:firstLine="567"/>
        <w:jc w:val="both"/>
        <w:rPr>
          <w:b/>
          <w:bCs/>
          <w:i/>
          <w:iCs/>
        </w:rPr>
      </w:pPr>
      <w:r>
        <w:rPr>
          <w:b/>
          <w:bCs/>
          <w:i/>
          <w:iCs/>
        </w:rPr>
        <w:t xml:space="preserve">консолидированная финансовая отчетность </w:t>
      </w:r>
      <w:r w:rsidR="005E0AC2">
        <w:rPr>
          <w:b/>
          <w:bCs/>
          <w:i/>
          <w:iCs/>
        </w:rPr>
        <w:t xml:space="preserve">Эмитента, </w:t>
      </w:r>
      <w:r>
        <w:rPr>
          <w:b/>
          <w:bCs/>
          <w:i/>
          <w:iCs/>
        </w:rPr>
        <w:t xml:space="preserve">составленная </w:t>
      </w:r>
      <w:r w:rsidR="005E0AC2">
        <w:rPr>
          <w:b/>
          <w:bCs/>
          <w:i/>
          <w:iCs/>
        </w:rPr>
        <w:t>в соответствии с Международными стандартами финансовой отчетности</w:t>
      </w:r>
      <w:r>
        <w:rPr>
          <w:b/>
          <w:bCs/>
          <w:i/>
          <w:iCs/>
        </w:rPr>
        <w:t xml:space="preserve"> (МСФО)</w:t>
      </w:r>
      <w:r w:rsidR="005E0AC2">
        <w:rPr>
          <w:b/>
          <w:bCs/>
          <w:i/>
          <w:iCs/>
        </w:rPr>
        <w:t>.</w:t>
      </w:r>
    </w:p>
    <w:p w:rsidR="007A47A2" w:rsidRDefault="007A47A2" w:rsidP="005E0AC2">
      <w:pPr>
        <w:pStyle w:val="ConsPlusNormal"/>
        <w:ind w:firstLine="567"/>
        <w:jc w:val="both"/>
        <w:rPr>
          <w:rFonts w:ascii="Times New Roman" w:hAnsi="Times New Roman" w:cs="Times New Roman"/>
        </w:rPr>
      </w:pPr>
    </w:p>
    <w:p w:rsidR="005E0AC2" w:rsidRDefault="005E0AC2" w:rsidP="005E0AC2">
      <w:pPr>
        <w:pStyle w:val="ConsPlusNormal"/>
        <w:ind w:firstLine="567"/>
        <w:jc w:val="both"/>
        <w:rPr>
          <w:b/>
          <w:bCs/>
          <w:i/>
          <w:iCs/>
        </w:rPr>
      </w:pPr>
      <w:r>
        <w:rPr>
          <w:rFonts w:ascii="Times New Roman" w:hAnsi="Times New Roman" w:cs="Times New Roman"/>
        </w:rPr>
        <w:t xml:space="preserve">В случае если аудитором (аудиторской организацией) проводилась независимая проверка вступительной бухгалтерской (финансовой) отчетности эмитента или квартальной бухгалтерской (финансовой) отчетности эмитента, дополнительно указывается на это обстоятельство, а также приводится период (периоды) из числа последних трех завершенных отчетных лет и текущего года, отчетность эмитента за который (которые) проверялась аудитором (аудиторской организацией): </w:t>
      </w:r>
      <w:r>
        <w:rPr>
          <w:b/>
          <w:bCs/>
          <w:i/>
          <w:iCs/>
        </w:rPr>
        <w:t>не проводилась</w:t>
      </w:r>
    </w:p>
    <w:p w:rsidR="007A47A2" w:rsidRDefault="007A47A2" w:rsidP="005E0AC2">
      <w:pPr>
        <w:pStyle w:val="ConsPlusNormal"/>
        <w:ind w:firstLine="540"/>
        <w:jc w:val="both"/>
        <w:rPr>
          <w:rFonts w:ascii="Times New Roman" w:hAnsi="Times New Roman" w:cs="Times New Roman"/>
        </w:rPr>
      </w:pPr>
    </w:p>
    <w:p w:rsidR="005E0AC2" w:rsidRDefault="005E0AC2" w:rsidP="005E0AC2">
      <w:pPr>
        <w:pStyle w:val="ConsPlusNormal"/>
        <w:ind w:firstLine="540"/>
        <w:jc w:val="both"/>
        <w:rPr>
          <w:rFonts w:ascii="Times New Roman" w:hAnsi="Times New Roman" w:cs="Times New Roman"/>
        </w:rPr>
      </w:pPr>
      <w:r>
        <w:rPr>
          <w:rFonts w:ascii="Times New Roman" w:hAnsi="Times New Roman" w:cs="Times New Roman"/>
        </w:rPr>
        <w:t>Описываются факторы, которые могут оказать влияние на независимость аудитора (аудиторской организации) от эмитента, в том числе указывается информация о наличии существенных интересов, связывающих аудитора (лиц, занимающих должности в органах управления и органах контроля за финансово-хозяйственной деятельностью аудиторской организации) с эмитентом (лицами, занимающими должности в органах управления и органах контроля за финансово-хозяйственной деятельностью эмитента):</w:t>
      </w:r>
    </w:p>
    <w:p w:rsidR="007A47A2" w:rsidRDefault="007A47A2" w:rsidP="005E0AC2">
      <w:pPr>
        <w:pStyle w:val="ConsPlusNormal"/>
        <w:ind w:firstLine="540"/>
        <w:jc w:val="both"/>
        <w:rPr>
          <w:rFonts w:ascii="Times New Roman" w:hAnsi="Times New Roman" w:cs="Times New Roman"/>
        </w:rPr>
      </w:pPr>
    </w:p>
    <w:p w:rsidR="005E0AC2" w:rsidRDefault="005E0AC2" w:rsidP="005E0AC2">
      <w:pPr>
        <w:pStyle w:val="ConsPlusNormal"/>
        <w:ind w:firstLine="540"/>
        <w:jc w:val="both"/>
        <w:rPr>
          <w:b/>
          <w:bCs/>
          <w:i/>
          <w:iCs/>
        </w:rPr>
      </w:pPr>
      <w:r>
        <w:rPr>
          <w:rFonts w:ascii="Times New Roman" w:hAnsi="Times New Roman" w:cs="Times New Roman"/>
        </w:rPr>
        <w:t xml:space="preserve">наличие долей участия аудитора (лиц, занимающих должности в органах управления и органах контроля за финансово-хозяйственной деятельностью аудиторской организации) в уставном капитале эмитента: </w:t>
      </w:r>
      <w:r>
        <w:rPr>
          <w:b/>
          <w:bCs/>
          <w:i/>
          <w:iCs/>
        </w:rPr>
        <w:t>долей не имеет;</w:t>
      </w:r>
    </w:p>
    <w:p w:rsidR="007A47A2" w:rsidRDefault="007A47A2" w:rsidP="005E0AC2">
      <w:pPr>
        <w:pStyle w:val="ConsPlusNormal"/>
        <w:ind w:firstLine="540"/>
        <w:jc w:val="both"/>
        <w:rPr>
          <w:rFonts w:ascii="Times New Roman" w:hAnsi="Times New Roman" w:cs="Times New Roman"/>
        </w:rPr>
      </w:pPr>
    </w:p>
    <w:p w:rsidR="005E0AC2" w:rsidRDefault="005E0AC2" w:rsidP="005E0AC2">
      <w:pPr>
        <w:pStyle w:val="ConsPlusNormal"/>
        <w:ind w:firstLine="540"/>
        <w:jc w:val="both"/>
        <w:rPr>
          <w:b/>
          <w:bCs/>
          <w:i/>
          <w:iCs/>
        </w:rPr>
      </w:pPr>
      <w:r>
        <w:rPr>
          <w:rFonts w:ascii="Times New Roman" w:hAnsi="Times New Roman" w:cs="Times New Roman"/>
        </w:rPr>
        <w:t xml:space="preserve">предоставление эмитентом заемных средств аудитору (лицам, занимающим должности в органах управления и органах контроля за финансово-хозяйственной деятельностью аудиторской организации): </w:t>
      </w:r>
      <w:r>
        <w:rPr>
          <w:b/>
          <w:bCs/>
          <w:i/>
          <w:iCs/>
        </w:rPr>
        <w:t>Заемные средства аудитору (должностным лицам аудитора) не предоставлялись;</w:t>
      </w:r>
    </w:p>
    <w:p w:rsidR="007A47A2" w:rsidRDefault="007A47A2" w:rsidP="005E0AC2">
      <w:pPr>
        <w:pStyle w:val="ConsPlusNormal"/>
        <w:ind w:firstLine="540"/>
        <w:jc w:val="both"/>
        <w:rPr>
          <w:rFonts w:ascii="Times New Roman" w:hAnsi="Times New Roman" w:cs="Times New Roman"/>
        </w:rPr>
      </w:pPr>
    </w:p>
    <w:p w:rsidR="005E0AC2" w:rsidRDefault="005E0AC2" w:rsidP="005E0AC2">
      <w:pPr>
        <w:pStyle w:val="ConsPlusNormal"/>
        <w:ind w:firstLine="540"/>
        <w:jc w:val="both"/>
        <w:rPr>
          <w:rFonts w:ascii="Times New Roman" w:hAnsi="Times New Roman" w:cs="Times New Roman"/>
        </w:rPr>
      </w:pPr>
      <w:r>
        <w:rPr>
          <w:rFonts w:ascii="Times New Roman" w:hAnsi="Times New Roman" w:cs="Times New Roman"/>
        </w:rPr>
        <w:t>наличие тесных деловых взаимоотношений (участие в продвижении продукции (услуг) эмитента, участие в совместной предпринимательской деятельности и т.д.), а также родственных связей: у</w:t>
      </w:r>
      <w:r>
        <w:rPr>
          <w:b/>
          <w:bCs/>
          <w:i/>
          <w:iCs/>
        </w:rPr>
        <w:t>казанных взаимоотношений и связей нет;</w:t>
      </w:r>
    </w:p>
    <w:p w:rsidR="007A47A2" w:rsidRDefault="007A47A2" w:rsidP="005E0AC2">
      <w:pPr>
        <w:pStyle w:val="ConsPlusNormal"/>
        <w:ind w:firstLine="540"/>
        <w:jc w:val="both"/>
        <w:rPr>
          <w:rFonts w:ascii="Times New Roman" w:hAnsi="Times New Roman" w:cs="Times New Roman"/>
        </w:rPr>
      </w:pPr>
    </w:p>
    <w:p w:rsidR="005E0AC2" w:rsidRDefault="005E0AC2" w:rsidP="005E0AC2">
      <w:pPr>
        <w:pStyle w:val="ConsPlusNormal"/>
        <w:ind w:firstLine="540"/>
        <w:jc w:val="both"/>
        <w:rPr>
          <w:rFonts w:ascii="Times New Roman" w:hAnsi="Times New Roman" w:cs="Times New Roman"/>
        </w:rPr>
      </w:pPr>
      <w:r>
        <w:rPr>
          <w:rFonts w:ascii="Times New Roman" w:hAnsi="Times New Roman" w:cs="Times New Roman"/>
        </w:rPr>
        <w:t xml:space="preserve">сведения о лицах, занимающих должности в органах управления и (или) органах контроля за финансово-хозяйственной деятельностью эмитента, которые одновременно занимают должности в органах управления и (или) органах контроля за финансово-хозяйственной деятельностью аудиторской организации: </w:t>
      </w:r>
      <w:r>
        <w:rPr>
          <w:b/>
          <w:bCs/>
          <w:i/>
          <w:iCs/>
        </w:rPr>
        <w:t>должностных лиц Эмитента, являющихся одновременно должностными лицами аудитора (аудитором), нет.</w:t>
      </w:r>
    </w:p>
    <w:p w:rsidR="005E0AC2" w:rsidRDefault="005E0AC2" w:rsidP="005E0AC2">
      <w:pPr>
        <w:pStyle w:val="ConsPlusNormal"/>
        <w:ind w:firstLine="540"/>
        <w:jc w:val="both"/>
        <w:rPr>
          <w:b/>
          <w:bCs/>
          <w:i/>
          <w:iCs/>
        </w:rPr>
      </w:pPr>
      <w:r>
        <w:rPr>
          <w:b/>
          <w:bCs/>
          <w:i/>
          <w:iCs/>
        </w:rPr>
        <w:t>Существенные интересы, связывающие аудитора (должностных лиц аудитора) с Эмитентом (должностными лицами Эмитента), отсутствуют.</w:t>
      </w:r>
    </w:p>
    <w:p w:rsidR="005E0AC2" w:rsidRDefault="005E0AC2" w:rsidP="005E0AC2">
      <w:pPr>
        <w:pStyle w:val="ConsPlusNormal"/>
        <w:ind w:firstLine="540"/>
        <w:jc w:val="both"/>
        <w:rPr>
          <w:rFonts w:ascii="Times New Roman" w:hAnsi="Times New Roman" w:cs="Times New Roman"/>
        </w:rPr>
      </w:pPr>
    </w:p>
    <w:p w:rsidR="005E0AC2" w:rsidRDefault="005E0AC2" w:rsidP="005E0AC2">
      <w:pPr>
        <w:pStyle w:val="ConsPlusNormal"/>
        <w:ind w:firstLine="540"/>
        <w:jc w:val="both"/>
        <w:rPr>
          <w:rFonts w:ascii="Times New Roman" w:hAnsi="Times New Roman" w:cs="Times New Roman"/>
        </w:rPr>
      </w:pPr>
      <w:r>
        <w:rPr>
          <w:rFonts w:ascii="Times New Roman" w:hAnsi="Times New Roman" w:cs="Times New Roman"/>
        </w:rPr>
        <w:t>Указываются меры, предпринятые эмитентом и аудитором (аудиторской организацией) для снижения влияния указанных факторов:</w:t>
      </w:r>
    </w:p>
    <w:p w:rsidR="005E0AC2" w:rsidRDefault="005E0AC2" w:rsidP="005E0AC2">
      <w:pPr>
        <w:pStyle w:val="ConsPlusNormal"/>
        <w:ind w:firstLine="540"/>
        <w:jc w:val="both"/>
        <w:rPr>
          <w:b/>
          <w:bCs/>
          <w:i/>
          <w:iCs/>
        </w:rPr>
      </w:pPr>
      <w:r>
        <w:rPr>
          <w:b/>
          <w:bCs/>
          <w:i/>
          <w:iCs/>
        </w:rPr>
        <w:t xml:space="preserve">Эмитент и аудитор действовали в рамках действующего законодательства, в частности в соответствии с </w:t>
      </w:r>
      <w:r w:rsidR="00E47AE8">
        <w:rPr>
          <w:b/>
          <w:bCs/>
          <w:i/>
          <w:iCs/>
        </w:rPr>
        <w:t>Законом об аудиторской деятельности</w:t>
      </w:r>
      <w:r>
        <w:rPr>
          <w:b/>
          <w:bCs/>
          <w:i/>
          <w:iCs/>
        </w:rPr>
        <w:t>, согласно которо</w:t>
      </w:r>
      <w:r w:rsidR="007651B5">
        <w:rPr>
          <w:b/>
          <w:bCs/>
          <w:i/>
          <w:iCs/>
        </w:rPr>
        <w:t>му</w:t>
      </w:r>
      <w:r>
        <w:rPr>
          <w:b/>
          <w:bCs/>
          <w:i/>
          <w:iCs/>
        </w:rPr>
        <w:t xml:space="preserve"> аудит не может осуществляться: </w:t>
      </w:r>
    </w:p>
    <w:p w:rsidR="005E0AC2" w:rsidRDefault="005E0AC2" w:rsidP="005E0AC2">
      <w:pPr>
        <w:pStyle w:val="ConsPlusNormal"/>
        <w:ind w:firstLine="540"/>
        <w:jc w:val="both"/>
        <w:rPr>
          <w:b/>
          <w:bCs/>
          <w:i/>
          <w:iCs/>
        </w:rPr>
      </w:pPr>
      <w:r>
        <w:rPr>
          <w:b/>
          <w:bCs/>
          <w:i/>
          <w:iCs/>
        </w:rPr>
        <w:t xml:space="preserve">1) аудиторскими организациями, руководители и иные должностные лица которых являются учредителями (участниками) аудируемых лиц, их должностными лицами, бухгалтерами и иными лицами, несущими ответственность за организацию и ведение бухгалтерского учета и составление бухгалтерской (финансовой) отчетности; </w:t>
      </w:r>
    </w:p>
    <w:p w:rsidR="005E0AC2" w:rsidRDefault="005E0AC2" w:rsidP="005E0AC2">
      <w:pPr>
        <w:pStyle w:val="ConsPlusNormal"/>
        <w:ind w:firstLine="540"/>
        <w:jc w:val="both"/>
        <w:rPr>
          <w:b/>
          <w:bCs/>
          <w:i/>
          <w:iCs/>
        </w:rPr>
      </w:pPr>
      <w:r>
        <w:rPr>
          <w:b/>
          <w:bCs/>
          <w:i/>
          <w:iCs/>
        </w:rPr>
        <w:t xml:space="preserve">2) аудиторскими организациями, руководители и иные должностные лица которых состоят в близком родстве (родители, супруги, братья, сестры, дети, а также братья, сестры, родители и дети супругов) с учредителями (участниками) аудируемых лиц, их должностными лицами, бухгалтерами и иными лицами, несущими ответственность за организацию и ведение бухгалтерского учета и составление бухгалтерской (финансовой) отчетности; </w:t>
      </w:r>
    </w:p>
    <w:p w:rsidR="005E0AC2" w:rsidRDefault="005E0AC2" w:rsidP="005E0AC2">
      <w:pPr>
        <w:pStyle w:val="ConsPlusNormal"/>
        <w:ind w:firstLine="540"/>
        <w:jc w:val="both"/>
        <w:rPr>
          <w:b/>
          <w:bCs/>
          <w:i/>
          <w:iCs/>
        </w:rPr>
      </w:pPr>
      <w:r>
        <w:rPr>
          <w:b/>
          <w:bCs/>
          <w:i/>
          <w:iCs/>
        </w:rPr>
        <w:t xml:space="preserve">3) аудиторскими организациями в отношении аудируемых лиц, являющихся их учредителями (участниками), в отношении аудируемых лиц, для которых эти аудиторские организации являются учредителями (участниками), в отношении дочерних обществ, филиалов и представительств указанных аудируемых лиц, а также в отношении организаций, имеющих общих с этой аудиторской организацией учредителей (участников); </w:t>
      </w:r>
    </w:p>
    <w:p w:rsidR="005E0AC2" w:rsidRDefault="005E0AC2" w:rsidP="005E0AC2">
      <w:pPr>
        <w:pStyle w:val="ConsPlusNormal"/>
        <w:ind w:firstLine="540"/>
        <w:jc w:val="both"/>
        <w:rPr>
          <w:b/>
          <w:bCs/>
          <w:i/>
          <w:iCs/>
        </w:rPr>
      </w:pPr>
      <w:r>
        <w:rPr>
          <w:b/>
          <w:bCs/>
          <w:i/>
          <w:iCs/>
        </w:rPr>
        <w:t xml:space="preserve">4) аудиторскими организациями, индивидуальными аудиторами, оказывавшими в течение трех лет, непосредственно предшествовавших проведению аудита, услуги по восстановлению и ведению бухгалтерского учета, а также по составлению бухгалтерской (финансовой) отчетности физическим и юридическим лицам, в отношении этих лиц; </w:t>
      </w:r>
    </w:p>
    <w:p w:rsidR="005E0AC2" w:rsidRDefault="005E0AC2" w:rsidP="005E0AC2">
      <w:pPr>
        <w:pStyle w:val="ConsPlusNormal"/>
        <w:ind w:firstLine="540"/>
        <w:jc w:val="both"/>
        <w:rPr>
          <w:b/>
          <w:bCs/>
          <w:i/>
          <w:iCs/>
        </w:rPr>
      </w:pPr>
      <w:r>
        <w:rPr>
          <w:b/>
          <w:bCs/>
          <w:i/>
          <w:iCs/>
        </w:rPr>
        <w:t xml:space="preserve">5) аудиторами, являющимися учредителями (участниками) аудируемых лиц, их руководителями, бухгалтерами и иными лицами, несущими ответственность за организацию и ведение бухгалтерского учета и составление бухгалтерской (финансовой) отчетности; </w:t>
      </w:r>
    </w:p>
    <w:p w:rsidR="005E0AC2" w:rsidRDefault="005E0AC2" w:rsidP="005E0AC2">
      <w:pPr>
        <w:pStyle w:val="ConsPlusNormal"/>
        <w:ind w:firstLine="540"/>
        <w:jc w:val="both"/>
        <w:rPr>
          <w:b/>
          <w:bCs/>
          <w:i/>
          <w:iCs/>
        </w:rPr>
      </w:pPr>
      <w:r>
        <w:rPr>
          <w:b/>
          <w:bCs/>
          <w:i/>
          <w:iCs/>
        </w:rPr>
        <w:t xml:space="preserve">6) аудиторами, состоящими с учредителями (участниками) аудируемых лиц, их должностными лицами, бухгалтерами и иными лицами, несущими ответственность за организацию и ведение бухгалтерского учета и составление бухгалтерской (финансовой) отчетности, в близком родстве (родители, супруги, братья, сестры, дети, а также братья, сестры, родители и дети супругов). </w:t>
      </w:r>
    </w:p>
    <w:p w:rsidR="005E0AC2" w:rsidRDefault="005E0AC2" w:rsidP="005E0AC2">
      <w:pPr>
        <w:pStyle w:val="ConsPlusNormal"/>
        <w:ind w:firstLine="540"/>
        <w:jc w:val="both"/>
        <w:rPr>
          <w:b/>
          <w:bCs/>
          <w:i/>
          <w:iCs/>
        </w:rPr>
      </w:pPr>
      <w:r>
        <w:rPr>
          <w:b/>
          <w:bCs/>
          <w:i/>
          <w:iCs/>
        </w:rPr>
        <w:t xml:space="preserve">Основной мерой, предпринятой </w:t>
      </w:r>
      <w:r w:rsidR="009E7AD9">
        <w:rPr>
          <w:b/>
          <w:bCs/>
          <w:i/>
          <w:iCs/>
        </w:rPr>
        <w:t xml:space="preserve">Эмитентом </w:t>
      </w:r>
      <w:r>
        <w:rPr>
          <w:b/>
          <w:bCs/>
          <w:i/>
          <w:iCs/>
        </w:rPr>
        <w:t xml:space="preserve">для снижения зависимости друг от друга, является процесс тщательного рассмотрения кандидатуры аудитора на предмет его независимости от Эмитента. Аудитор является полностью независимым от органов управления </w:t>
      </w:r>
      <w:r w:rsidR="009E7AD9">
        <w:rPr>
          <w:b/>
          <w:bCs/>
          <w:i/>
          <w:iCs/>
        </w:rPr>
        <w:t xml:space="preserve">Эмитента </w:t>
      </w:r>
      <w:r>
        <w:rPr>
          <w:b/>
          <w:bCs/>
          <w:i/>
          <w:iCs/>
        </w:rPr>
        <w:t xml:space="preserve">в соответствии с требованиями </w:t>
      </w:r>
      <w:r w:rsidR="00E47AE8">
        <w:rPr>
          <w:b/>
          <w:bCs/>
          <w:i/>
          <w:iCs/>
        </w:rPr>
        <w:t>Закона об аудиторской деятельности</w:t>
      </w:r>
      <w:r>
        <w:rPr>
          <w:b/>
          <w:bCs/>
          <w:i/>
          <w:iCs/>
        </w:rPr>
        <w:t>; размер вознаграждения аудитора не ставился в зависимость от результатов проведенной проверки.</w:t>
      </w:r>
    </w:p>
    <w:p w:rsidR="007A47A2" w:rsidRDefault="007A47A2" w:rsidP="005E0AC2">
      <w:pPr>
        <w:pStyle w:val="ConsPlusNormal"/>
        <w:ind w:firstLine="540"/>
        <w:jc w:val="both"/>
        <w:rPr>
          <w:rFonts w:ascii="Times New Roman" w:hAnsi="Times New Roman" w:cs="Times New Roman"/>
        </w:rPr>
      </w:pPr>
    </w:p>
    <w:p w:rsidR="005E0AC2" w:rsidRDefault="005E0AC2" w:rsidP="005E0AC2">
      <w:pPr>
        <w:pStyle w:val="ConsPlusNormal"/>
        <w:ind w:firstLine="540"/>
        <w:jc w:val="both"/>
        <w:rPr>
          <w:rFonts w:ascii="Times New Roman" w:hAnsi="Times New Roman" w:cs="Times New Roman"/>
        </w:rPr>
      </w:pPr>
      <w:r>
        <w:rPr>
          <w:rFonts w:ascii="Times New Roman" w:hAnsi="Times New Roman" w:cs="Times New Roman"/>
        </w:rPr>
        <w:t>Описывается порядок выбора аудитора (аудиторской организации) эмитента:</w:t>
      </w:r>
    </w:p>
    <w:p w:rsidR="007A47A2" w:rsidRDefault="007A47A2" w:rsidP="005E0AC2">
      <w:pPr>
        <w:ind w:firstLine="540"/>
        <w:jc w:val="both"/>
      </w:pPr>
    </w:p>
    <w:p w:rsidR="005E0AC2" w:rsidRDefault="005E0AC2" w:rsidP="005E0AC2">
      <w:pPr>
        <w:ind w:firstLine="540"/>
        <w:jc w:val="both"/>
        <w:rPr>
          <w:rFonts w:ascii="Arial" w:eastAsiaTheme="minorHAnsi" w:hAnsi="Arial" w:cs="Arial"/>
          <w:b/>
          <w:bCs/>
          <w:i/>
          <w:iCs/>
          <w:lang w:eastAsia="en-US"/>
        </w:rPr>
      </w:pPr>
      <w:r>
        <w:t>наличие процедуры тендера, связанного с выбором аудитора (аудиторской организации), и его основные условия:</w:t>
      </w:r>
      <w:r>
        <w:rPr>
          <w:bCs/>
          <w:iCs/>
        </w:rPr>
        <w:t xml:space="preserve"> </w:t>
      </w:r>
      <w:r>
        <w:rPr>
          <w:rFonts w:ascii="Arial" w:eastAsiaTheme="minorHAnsi" w:hAnsi="Arial" w:cs="Arial"/>
          <w:b/>
          <w:i/>
          <w:lang w:eastAsia="en-US"/>
        </w:rPr>
        <w:t>наличие процедуры тендера, связанного с выбором аудитора, не предусмотрено.</w:t>
      </w:r>
    </w:p>
    <w:p w:rsidR="007A47A2" w:rsidRDefault="007A47A2" w:rsidP="005E0AC2">
      <w:pPr>
        <w:ind w:firstLine="540"/>
        <w:jc w:val="both"/>
      </w:pPr>
    </w:p>
    <w:p w:rsidR="005E0AC2" w:rsidRDefault="005E0AC2" w:rsidP="005E0AC2">
      <w:pPr>
        <w:ind w:firstLine="540"/>
        <w:jc w:val="both"/>
        <w:rPr>
          <w:rFonts w:ascii="Arial" w:eastAsiaTheme="minorHAnsi" w:hAnsi="Arial" w:cs="Arial"/>
          <w:b/>
          <w:i/>
          <w:lang w:eastAsia="en-US"/>
        </w:rPr>
      </w:pPr>
      <w:r>
        <w:t xml:space="preserve">процедура выдвижения кандидатуры аудитора (аудиторской организации) для утверждения общим собранием акционеров (участников), в том числе орган управления, принимающий соответствующее решение: </w:t>
      </w:r>
      <w:r w:rsidR="00DD7A32">
        <w:rPr>
          <w:rFonts w:ascii="Arial" w:eastAsiaTheme="minorHAnsi" w:hAnsi="Arial" w:cs="Arial"/>
          <w:b/>
          <w:i/>
          <w:lang w:eastAsia="en-US"/>
        </w:rPr>
        <w:t xml:space="preserve">В соответствии с Уставом Эмитента (раздел 8, п.8.5) утверждение аудитора Эмитента относится к компетенции Общего собрания акционеров. </w:t>
      </w:r>
      <w:r>
        <w:rPr>
          <w:rFonts w:ascii="Arial" w:eastAsiaTheme="minorHAnsi" w:hAnsi="Arial" w:cs="Arial"/>
          <w:b/>
          <w:i/>
          <w:lang w:eastAsia="en-US"/>
        </w:rPr>
        <w:t>Кандидатура аудитора предложена Советом директоров Эмитента.</w:t>
      </w:r>
    </w:p>
    <w:p w:rsidR="007A47A2" w:rsidRDefault="007A47A2" w:rsidP="005E0AC2">
      <w:pPr>
        <w:ind w:firstLine="540"/>
        <w:jc w:val="both"/>
      </w:pPr>
    </w:p>
    <w:p w:rsidR="005E0AC2" w:rsidRDefault="005E0AC2" w:rsidP="005E0AC2">
      <w:pPr>
        <w:ind w:firstLine="540"/>
        <w:jc w:val="both"/>
        <w:rPr>
          <w:rFonts w:ascii="Arial" w:eastAsiaTheme="minorHAnsi" w:hAnsi="Arial" w:cs="Arial"/>
          <w:b/>
          <w:i/>
          <w:lang w:eastAsia="en-US"/>
        </w:rPr>
      </w:pPr>
      <w:r>
        <w:t>Указывается информация о работах, проводимых аудитором (аудиторской организацией) в рамках специальных аудиторских заданий:</w:t>
      </w:r>
      <w:r>
        <w:rPr>
          <w:rFonts w:ascii="Arial" w:eastAsiaTheme="minorHAnsi" w:hAnsi="Arial" w:cs="Arial"/>
          <w:b/>
          <w:i/>
          <w:lang w:eastAsia="en-US"/>
        </w:rPr>
        <w:t xml:space="preserve"> работ аудитора, в рамках специальных аудиторских заданий, не проводилось.</w:t>
      </w:r>
    </w:p>
    <w:p w:rsidR="007A47A2" w:rsidRDefault="007A47A2" w:rsidP="000E7030">
      <w:pPr>
        <w:widowControl/>
        <w:spacing w:before="0" w:after="0"/>
        <w:ind w:firstLine="567"/>
        <w:jc w:val="both"/>
      </w:pPr>
    </w:p>
    <w:p w:rsidR="000E7030" w:rsidRDefault="005E0AC2" w:rsidP="000E7030">
      <w:pPr>
        <w:widowControl/>
        <w:spacing w:before="0" w:after="0"/>
        <w:ind w:firstLine="567"/>
        <w:jc w:val="both"/>
        <w:rPr>
          <w:rFonts w:ascii="TimesNewRomanPS-BoldItalicMT" w:eastAsiaTheme="minorHAnsi" w:hAnsi="TimesNewRomanPS-BoldItalicMT" w:cs="TimesNewRomanPS-BoldItalicMT"/>
          <w:b/>
          <w:bCs/>
          <w:i/>
          <w:iCs/>
          <w:lang w:eastAsia="en-US"/>
        </w:rPr>
      </w:pPr>
      <w:r>
        <w:t xml:space="preserve">Описывается порядок определения размера вознаграждения аудитора (аудиторской организации), указывается фактический размер вознаграждения, выплаченного эмитентом аудитору (аудиторской организации) по итогам последнего завершенного отчетного года, за который аудитором проводилась независимая проверка годовой бухгалтерской (финансовой) отчетности и (или) годовой консолидированной финансовой отчетности эмитента, приводится информация о наличии отсроченных и просроченных платежей за оказанные аудитором (аудиторской организацией) услуги: </w:t>
      </w:r>
      <w:r w:rsidR="000E7030" w:rsidRPr="007651B5">
        <w:rPr>
          <w:rFonts w:ascii="Arial" w:hAnsi="Arial" w:cs="Arial"/>
          <w:b/>
          <w:i/>
        </w:rPr>
        <w:t>в соответствии с пп. 10 п.1 ст. 65 Закон</w:t>
      </w:r>
      <w:r w:rsidR="00142B05">
        <w:rPr>
          <w:rFonts w:ascii="Arial" w:hAnsi="Arial" w:cs="Arial"/>
          <w:b/>
          <w:i/>
        </w:rPr>
        <w:t>а</w:t>
      </w:r>
      <w:r w:rsidR="000E7030" w:rsidRPr="007651B5">
        <w:rPr>
          <w:rFonts w:ascii="Arial" w:hAnsi="Arial" w:cs="Arial"/>
          <w:b/>
          <w:i/>
        </w:rPr>
        <w:t xml:space="preserve"> об акционерных обществах к компетенции Совета директоров общества относится вопрос определения размере оплаты услуг аудитора. </w:t>
      </w:r>
      <w:r w:rsidR="000E7030" w:rsidRPr="007651B5">
        <w:rPr>
          <w:rFonts w:ascii="TimesNewRomanPS-BoldItalicMT" w:eastAsiaTheme="minorHAnsi" w:hAnsi="TimesNewRomanPS-BoldItalicMT" w:cs="TimesNewRomanPS-BoldItalicMT"/>
          <w:b/>
          <w:bCs/>
          <w:i/>
          <w:iCs/>
          <w:lang w:eastAsia="en-US"/>
        </w:rPr>
        <w:t>В соответствии с пп.8, п. 9.2. раздела 9 Устава Эмитента, определение размера оплаты услуг аудитора относится к компетенции Совета директоров Эмитента. Размер вознаграждения аудитора определяется соглашением сторон.</w:t>
      </w:r>
    </w:p>
    <w:p w:rsidR="00782A13" w:rsidRDefault="005E0AC2" w:rsidP="00782A13">
      <w:pPr>
        <w:pStyle w:val="ConsPlusNormal"/>
        <w:ind w:firstLine="540"/>
        <w:jc w:val="both"/>
        <w:rPr>
          <w:b/>
          <w:i/>
        </w:rPr>
      </w:pPr>
      <w:r>
        <w:rPr>
          <w:b/>
          <w:i/>
        </w:rPr>
        <w:t xml:space="preserve">Фактический размер вознаграждения, выплаченного </w:t>
      </w:r>
      <w:r w:rsidR="00782A13">
        <w:rPr>
          <w:b/>
          <w:i/>
        </w:rPr>
        <w:t xml:space="preserve">Эмитентом </w:t>
      </w:r>
      <w:r>
        <w:rPr>
          <w:b/>
          <w:i/>
        </w:rPr>
        <w:t>аудитор</w:t>
      </w:r>
      <w:r w:rsidR="00782A13">
        <w:rPr>
          <w:b/>
          <w:i/>
        </w:rPr>
        <w:t>ской организации за оказание услуг аудитора по проверке консолидированной финансовой отчетности Эмитента, составленной в соответствии с</w:t>
      </w:r>
      <w:r w:rsidR="00782A13" w:rsidRPr="00782A13">
        <w:rPr>
          <w:b/>
          <w:bCs/>
          <w:i/>
          <w:iCs/>
        </w:rPr>
        <w:t xml:space="preserve"> </w:t>
      </w:r>
      <w:r w:rsidR="00782A13">
        <w:rPr>
          <w:b/>
          <w:bCs/>
          <w:i/>
          <w:iCs/>
        </w:rPr>
        <w:t>Международными стандартами финансовой отчетности (МСФО):</w:t>
      </w:r>
    </w:p>
    <w:p w:rsidR="005E0AC2" w:rsidRDefault="00CD4CBC" w:rsidP="00CD4CBC">
      <w:pPr>
        <w:pStyle w:val="ConsPlusNormal"/>
        <w:numPr>
          <w:ilvl w:val="0"/>
          <w:numId w:val="27"/>
        </w:numPr>
        <w:ind w:left="0" w:firstLine="567"/>
        <w:jc w:val="both"/>
        <w:rPr>
          <w:b/>
          <w:i/>
        </w:rPr>
      </w:pPr>
      <w:r>
        <w:rPr>
          <w:b/>
          <w:i/>
        </w:rPr>
        <w:t>з</w:t>
      </w:r>
      <w:r w:rsidR="005E0AC2">
        <w:rPr>
          <w:b/>
          <w:i/>
        </w:rPr>
        <w:t>а 2014 год – 2</w:t>
      </w:r>
      <w:r w:rsidR="00956158">
        <w:rPr>
          <w:b/>
          <w:i/>
        </w:rPr>
        <w:t xml:space="preserve"> </w:t>
      </w:r>
      <w:r w:rsidR="005E0AC2">
        <w:rPr>
          <w:b/>
          <w:i/>
        </w:rPr>
        <w:t xml:space="preserve">537 </w:t>
      </w:r>
      <w:r w:rsidR="00AE7F46">
        <w:rPr>
          <w:b/>
          <w:i/>
        </w:rPr>
        <w:t>000</w:t>
      </w:r>
      <w:r w:rsidR="005E0AC2">
        <w:rPr>
          <w:b/>
          <w:i/>
        </w:rPr>
        <w:t xml:space="preserve"> руб.</w:t>
      </w:r>
    </w:p>
    <w:p w:rsidR="005E0AC2" w:rsidRDefault="005E0AC2" w:rsidP="005E0AC2">
      <w:pPr>
        <w:ind w:firstLine="540"/>
        <w:jc w:val="both"/>
        <w:rPr>
          <w:rFonts w:ascii="Arial" w:eastAsiaTheme="minorHAnsi" w:hAnsi="Arial" w:cs="Arial"/>
          <w:b/>
          <w:i/>
          <w:lang w:eastAsia="en-US"/>
        </w:rPr>
      </w:pPr>
      <w:r>
        <w:rPr>
          <w:rFonts w:ascii="Arial" w:eastAsiaTheme="minorHAnsi" w:hAnsi="Arial" w:cs="Arial"/>
          <w:b/>
          <w:i/>
          <w:lang w:eastAsia="en-US"/>
        </w:rPr>
        <w:t>Отсроченных и просроченных платежей за оказанные аудитором (аудиторской организацией) услуги за 2014 годы нет.</w:t>
      </w:r>
    </w:p>
    <w:p w:rsidR="005E0AC2" w:rsidRDefault="005E0AC2" w:rsidP="005E0AC2">
      <w:pPr>
        <w:pStyle w:val="ConsPlusNormal"/>
        <w:ind w:firstLine="540"/>
        <w:jc w:val="both"/>
        <w:rPr>
          <w:rFonts w:ascii="Times New Roman" w:hAnsi="Times New Roman" w:cs="Times New Roman"/>
        </w:rPr>
      </w:pPr>
    </w:p>
    <w:p w:rsidR="005E0AC2" w:rsidRPr="00D740EC" w:rsidRDefault="005E0AC2" w:rsidP="005E0AC2">
      <w:pPr>
        <w:pStyle w:val="ConsPlusNormal"/>
        <w:ind w:firstLine="540"/>
        <w:jc w:val="both"/>
        <w:outlineLvl w:val="1"/>
        <w:rPr>
          <w:b/>
          <w:i/>
          <w:sz w:val="28"/>
          <w:szCs w:val="28"/>
        </w:rPr>
      </w:pPr>
      <w:bookmarkStart w:id="9" w:name="_Toc448251115"/>
      <w:r w:rsidRPr="00D740EC">
        <w:rPr>
          <w:b/>
          <w:i/>
          <w:sz w:val="28"/>
          <w:szCs w:val="28"/>
        </w:rPr>
        <w:t>1.3. Сведения об оценщике эмитента</w:t>
      </w:r>
      <w:bookmarkEnd w:id="9"/>
    </w:p>
    <w:p w:rsidR="005E0AC2" w:rsidRDefault="005E0AC2" w:rsidP="005E0AC2">
      <w:pPr>
        <w:pStyle w:val="ConsPlusNormal"/>
        <w:ind w:firstLine="540"/>
        <w:jc w:val="both"/>
        <w:rPr>
          <w:rFonts w:ascii="Times New Roman" w:hAnsi="Times New Roman" w:cs="Times New Roman"/>
        </w:rPr>
      </w:pPr>
    </w:p>
    <w:p w:rsidR="00A23F05" w:rsidRPr="00A23F05" w:rsidRDefault="00A23F05" w:rsidP="00A23F05">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w:t>
      </w:r>
      <w:r w:rsidR="0052498C">
        <w:rPr>
          <w:b/>
          <w:bCs/>
          <w:i/>
          <w:iCs/>
        </w:rPr>
        <w:t xml:space="preserve">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sidR="00E06C80">
        <w:rPr>
          <w:b/>
          <w:bCs/>
          <w:i/>
          <w:iCs/>
        </w:rPr>
        <w:t>ценных бумаг</w:t>
      </w:r>
      <w:r w:rsidRPr="00A23F05">
        <w:rPr>
          <w:b/>
          <w:bCs/>
          <w:i/>
          <w:iCs/>
        </w:rPr>
        <w:t xml:space="preserve"> не включается.</w:t>
      </w:r>
    </w:p>
    <w:p w:rsidR="005E0AC2" w:rsidRDefault="005E0AC2" w:rsidP="005E0AC2">
      <w:pPr>
        <w:pStyle w:val="ConsPlusNormal"/>
        <w:jc w:val="both"/>
        <w:rPr>
          <w:rFonts w:ascii="Times New Roman" w:hAnsi="Times New Roman" w:cs="Times New Roman"/>
        </w:rPr>
      </w:pPr>
    </w:p>
    <w:p w:rsidR="005E0AC2" w:rsidRPr="00D740EC" w:rsidRDefault="005E0AC2" w:rsidP="005E0AC2">
      <w:pPr>
        <w:pStyle w:val="ConsPlusNormal"/>
        <w:ind w:firstLine="540"/>
        <w:jc w:val="both"/>
        <w:outlineLvl w:val="1"/>
        <w:rPr>
          <w:b/>
          <w:i/>
          <w:sz w:val="28"/>
          <w:szCs w:val="28"/>
        </w:rPr>
      </w:pPr>
      <w:bookmarkStart w:id="10" w:name="_Toc448251116"/>
      <w:r w:rsidRPr="00D740EC">
        <w:rPr>
          <w:b/>
          <w:i/>
          <w:sz w:val="28"/>
          <w:szCs w:val="28"/>
        </w:rPr>
        <w:t>1.4. Сведения о консультантах эмитента</w:t>
      </w:r>
      <w:bookmarkEnd w:id="10"/>
    </w:p>
    <w:p w:rsidR="005E0AC2" w:rsidRDefault="005E0AC2" w:rsidP="005E0AC2">
      <w:pPr>
        <w:pStyle w:val="ConsPlusNormal"/>
        <w:jc w:val="both"/>
        <w:rPr>
          <w:b/>
          <w:bCs/>
          <w:i/>
          <w:iCs/>
        </w:rPr>
      </w:pPr>
    </w:p>
    <w:p w:rsidR="005E0AC2" w:rsidRDefault="005E0AC2" w:rsidP="005E0AC2">
      <w:pPr>
        <w:pStyle w:val="ConsPlusNormal"/>
        <w:ind w:firstLine="567"/>
        <w:jc w:val="both"/>
        <w:rPr>
          <w:b/>
          <w:bCs/>
          <w:i/>
          <w:iCs/>
        </w:rPr>
      </w:pPr>
      <w:r>
        <w:rPr>
          <w:b/>
          <w:bCs/>
          <w:i/>
          <w:iCs/>
        </w:rPr>
        <w:t>Финансовый консультант на рынке ценных бумаг, а также иные лица, оказывающие Эмитенту консультационные услуги, связанные с осуществлением эмиссии ценных бумаг, и подписавшие проспект ценных бумаг, отсутствуют.</w:t>
      </w:r>
    </w:p>
    <w:p w:rsidR="005E0AC2" w:rsidRDefault="005E0AC2" w:rsidP="005E0AC2">
      <w:pPr>
        <w:pStyle w:val="ConsPlusNormal"/>
        <w:jc w:val="both"/>
        <w:rPr>
          <w:rFonts w:ascii="Times New Roman" w:hAnsi="Times New Roman" w:cs="Times New Roman"/>
        </w:rPr>
      </w:pPr>
    </w:p>
    <w:p w:rsidR="005E0AC2" w:rsidRPr="00D740EC" w:rsidRDefault="005E0AC2" w:rsidP="005E0AC2">
      <w:pPr>
        <w:pStyle w:val="ConsPlusNormal"/>
        <w:ind w:firstLine="540"/>
        <w:jc w:val="both"/>
        <w:outlineLvl w:val="1"/>
        <w:rPr>
          <w:b/>
          <w:i/>
          <w:sz w:val="28"/>
          <w:szCs w:val="28"/>
        </w:rPr>
      </w:pPr>
      <w:bookmarkStart w:id="11" w:name="_Toc448251117"/>
      <w:r w:rsidRPr="00D740EC">
        <w:rPr>
          <w:b/>
          <w:i/>
          <w:sz w:val="28"/>
          <w:szCs w:val="28"/>
        </w:rPr>
        <w:t>1.5. Сведения об иных лицах, подписавших проспект ценных бумаг</w:t>
      </w:r>
      <w:bookmarkEnd w:id="11"/>
    </w:p>
    <w:p w:rsidR="005E0AC2" w:rsidRDefault="005E0AC2" w:rsidP="005E0AC2">
      <w:pPr>
        <w:pStyle w:val="Default"/>
        <w:ind w:firstLine="567"/>
        <w:jc w:val="both"/>
        <w:rPr>
          <w:sz w:val="20"/>
          <w:szCs w:val="20"/>
        </w:rPr>
      </w:pPr>
    </w:p>
    <w:p w:rsidR="005E0AC2" w:rsidRDefault="005E0AC2" w:rsidP="005E0AC2">
      <w:pPr>
        <w:pStyle w:val="Default"/>
        <w:ind w:firstLine="567"/>
        <w:jc w:val="both"/>
        <w:rPr>
          <w:sz w:val="20"/>
          <w:szCs w:val="20"/>
        </w:rPr>
      </w:pPr>
      <w:r>
        <w:rPr>
          <w:sz w:val="20"/>
          <w:szCs w:val="20"/>
        </w:rPr>
        <w:t xml:space="preserve">ФИО: </w:t>
      </w:r>
      <w:r>
        <w:rPr>
          <w:rFonts w:ascii="Arial" w:hAnsi="Arial" w:cs="Arial"/>
          <w:b/>
          <w:bCs/>
          <w:i/>
          <w:iCs/>
          <w:color w:val="auto"/>
          <w:sz w:val="20"/>
          <w:szCs w:val="20"/>
        </w:rPr>
        <w:t>Щербина Геннадий Филиппович</w:t>
      </w:r>
      <w:r>
        <w:rPr>
          <w:b/>
          <w:bCs/>
          <w:i/>
          <w:iCs/>
          <w:sz w:val="20"/>
          <w:szCs w:val="20"/>
        </w:rPr>
        <w:t xml:space="preserve"> </w:t>
      </w:r>
    </w:p>
    <w:p w:rsidR="005E0AC2" w:rsidRDefault="005E0AC2" w:rsidP="005E0AC2">
      <w:pPr>
        <w:pStyle w:val="Default"/>
        <w:ind w:firstLine="567"/>
        <w:jc w:val="both"/>
        <w:rPr>
          <w:sz w:val="20"/>
          <w:szCs w:val="20"/>
        </w:rPr>
      </w:pPr>
      <w:r w:rsidRPr="00913F1E">
        <w:rPr>
          <w:sz w:val="20"/>
          <w:szCs w:val="20"/>
        </w:rPr>
        <w:t>Год рождения:</w:t>
      </w:r>
      <w:r w:rsidRPr="00913F1E">
        <w:rPr>
          <w:rFonts w:ascii="Arial" w:hAnsi="Arial" w:cs="Arial"/>
          <w:b/>
          <w:bCs/>
          <w:i/>
          <w:iCs/>
          <w:color w:val="auto"/>
          <w:sz w:val="20"/>
          <w:szCs w:val="20"/>
        </w:rPr>
        <w:t xml:space="preserve"> </w:t>
      </w:r>
      <w:r w:rsidR="00913F1E" w:rsidRPr="00913F1E">
        <w:rPr>
          <w:rFonts w:ascii="Arial" w:hAnsi="Arial" w:cs="Arial"/>
          <w:b/>
          <w:bCs/>
          <w:i/>
          <w:iCs/>
          <w:color w:val="auto"/>
          <w:sz w:val="20"/>
          <w:szCs w:val="20"/>
        </w:rPr>
        <w:t>1955</w:t>
      </w:r>
    </w:p>
    <w:p w:rsidR="005E0AC2" w:rsidRDefault="005E0AC2" w:rsidP="005E0AC2">
      <w:pPr>
        <w:pStyle w:val="Default"/>
        <w:ind w:firstLine="567"/>
        <w:jc w:val="both"/>
        <w:rPr>
          <w:sz w:val="20"/>
          <w:szCs w:val="20"/>
        </w:rPr>
      </w:pPr>
      <w:r>
        <w:rPr>
          <w:sz w:val="20"/>
          <w:szCs w:val="20"/>
        </w:rPr>
        <w:t xml:space="preserve">Сведения об основном месте работы: </w:t>
      </w:r>
    </w:p>
    <w:p w:rsidR="005E0AC2" w:rsidRDefault="005E0AC2" w:rsidP="005E0AC2">
      <w:pPr>
        <w:pStyle w:val="Default"/>
        <w:ind w:firstLine="567"/>
        <w:jc w:val="both"/>
        <w:rPr>
          <w:rStyle w:val="a6"/>
          <w:rFonts w:ascii="Arial" w:hAnsi="Arial" w:cs="Arial"/>
          <w:sz w:val="18"/>
          <w:szCs w:val="18"/>
          <w:shd w:val="clear" w:color="auto" w:fill="FFFFFF"/>
        </w:rPr>
      </w:pPr>
      <w:r>
        <w:rPr>
          <w:sz w:val="20"/>
          <w:szCs w:val="20"/>
        </w:rPr>
        <w:t xml:space="preserve">Организация: </w:t>
      </w:r>
      <w:r>
        <w:rPr>
          <w:rFonts w:ascii="Arial" w:hAnsi="Arial" w:cs="Arial"/>
          <w:b/>
          <w:bCs/>
          <w:i/>
          <w:iCs/>
          <w:color w:val="auto"/>
          <w:sz w:val="20"/>
          <w:szCs w:val="20"/>
        </w:rPr>
        <w:t>ЗАО ССМО «ЛенСпецСМУ»</w:t>
      </w:r>
    </w:p>
    <w:p w:rsidR="005E0AC2" w:rsidRDefault="005E0AC2" w:rsidP="005E0AC2">
      <w:pPr>
        <w:pStyle w:val="Default"/>
        <w:ind w:firstLine="567"/>
        <w:jc w:val="both"/>
        <w:rPr>
          <w:i/>
          <w:iCs/>
          <w:color w:val="auto"/>
          <w:sz w:val="20"/>
          <w:szCs w:val="20"/>
        </w:rPr>
      </w:pPr>
      <w:r>
        <w:rPr>
          <w:sz w:val="20"/>
          <w:szCs w:val="20"/>
        </w:rPr>
        <w:t xml:space="preserve">Должность: </w:t>
      </w:r>
      <w:r>
        <w:rPr>
          <w:rFonts w:ascii="Arial" w:hAnsi="Arial" w:cs="Arial"/>
          <w:b/>
          <w:bCs/>
          <w:i/>
          <w:iCs/>
          <w:color w:val="auto"/>
          <w:sz w:val="20"/>
          <w:szCs w:val="20"/>
        </w:rPr>
        <w:t>Генеральный директор</w:t>
      </w:r>
    </w:p>
    <w:p w:rsidR="005E0AC2" w:rsidRDefault="005E0AC2" w:rsidP="005E0AC2">
      <w:pPr>
        <w:pStyle w:val="Default"/>
        <w:ind w:firstLine="567"/>
        <w:jc w:val="both"/>
        <w:rPr>
          <w:sz w:val="20"/>
          <w:szCs w:val="20"/>
        </w:rPr>
      </w:pPr>
    </w:p>
    <w:p w:rsidR="005E0AC2" w:rsidRDefault="005E0AC2" w:rsidP="00913F1E">
      <w:pPr>
        <w:pStyle w:val="Default"/>
        <w:tabs>
          <w:tab w:val="left" w:pos="6115"/>
        </w:tabs>
        <w:ind w:firstLine="567"/>
        <w:jc w:val="both"/>
      </w:pPr>
      <w:r>
        <w:rPr>
          <w:sz w:val="20"/>
          <w:szCs w:val="20"/>
        </w:rPr>
        <w:t xml:space="preserve">ФИО: </w:t>
      </w:r>
      <w:r w:rsidR="00913F1E" w:rsidRPr="00913F1E">
        <w:rPr>
          <w:rFonts w:ascii="Arial" w:hAnsi="Arial" w:cs="Arial"/>
          <w:b/>
          <w:i/>
          <w:color w:val="auto"/>
          <w:sz w:val="20"/>
          <w:szCs w:val="20"/>
        </w:rPr>
        <w:t>Ушакова Елена Владимировна</w:t>
      </w:r>
      <w:r>
        <w:rPr>
          <w:rFonts w:ascii="Arial" w:hAnsi="Arial" w:cs="Arial"/>
          <w:b/>
          <w:bCs/>
          <w:i/>
          <w:iCs/>
          <w:color w:val="auto"/>
          <w:sz w:val="20"/>
          <w:szCs w:val="20"/>
        </w:rPr>
        <w:tab/>
      </w:r>
    </w:p>
    <w:p w:rsidR="00913F1E" w:rsidRPr="00913F1E" w:rsidRDefault="005E0AC2" w:rsidP="00913F1E">
      <w:pPr>
        <w:ind w:firstLine="567"/>
        <w:jc w:val="both"/>
        <w:rPr>
          <w:rFonts w:ascii="Arial" w:eastAsiaTheme="minorHAnsi" w:hAnsi="Arial" w:cs="Arial"/>
          <w:b/>
          <w:i/>
          <w:lang w:eastAsia="en-US"/>
        </w:rPr>
      </w:pPr>
      <w:r w:rsidRPr="00913F1E">
        <w:t xml:space="preserve">Год рождения: </w:t>
      </w:r>
      <w:r w:rsidR="00913F1E" w:rsidRPr="00913F1E">
        <w:rPr>
          <w:rFonts w:ascii="Arial" w:eastAsiaTheme="minorHAnsi" w:hAnsi="Arial" w:cs="Arial"/>
          <w:b/>
          <w:i/>
          <w:lang w:eastAsia="en-US"/>
        </w:rPr>
        <w:t>1961</w:t>
      </w:r>
    </w:p>
    <w:p w:rsidR="005E0AC2" w:rsidRDefault="005E0AC2" w:rsidP="00913F1E">
      <w:pPr>
        <w:pStyle w:val="Default"/>
        <w:ind w:firstLine="567"/>
        <w:jc w:val="both"/>
        <w:rPr>
          <w:sz w:val="20"/>
          <w:szCs w:val="20"/>
        </w:rPr>
      </w:pPr>
      <w:r>
        <w:rPr>
          <w:sz w:val="20"/>
          <w:szCs w:val="20"/>
        </w:rPr>
        <w:t xml:space="preserve">Сведения об основном месте работы: </w:t>
      </w:r>
    </w:p>
    <w:p w:rsidR="005E0AC2" w:rsidRDefault="005E0AC2" w:rsidP="00913F1E">
      <w:pPr>
        <w:pStyle w:val="Default"/>
        <w:ind w:firstLine="567"/>
        <w:jc w:val="both"/>
        <w:rPr>
          <w:rStyle w:val="a6"/>
          <w:rFonts w:ascii="Arial" w:hAnsi="Arial" w:cs="Arial"/>
          <w:sz w:val="18"/>
          <w:szCs w:val="18"/>
          <w:shd w:val="clear" w:color="auto" w:fill="FFFFFF"/>
        </w:rPr>
      </w:pPr>
      <w:r>
        <w:rPr>
          <w:sz w:val="20"/>
          <w:szCs w:val="20"/>
        </w:rPr>
        <w:t xml:space="preserve">Организация: </w:t>
      </w:r>
      <w:r>
        <w:rPr>
          <w:rFonts w:ascii="Arial" w:hAnsi="Arial" w:cs="Arial"/>
          <w:b/>
          <w:bCs/>
          <w:i/>
          <w:iCs/>
          <w:color w:val="auto"/>
          <w:sz w:val="20"/>
          <w:szCs w:val="20"/>
        </w:rPr>
        <w:t>ЗАО ССМО «ЛенСпецСМУ»</w:t>
      </w:r>
    </w:p>
    <w:p w:rsidR="005E0AC2" w:rsidRDefault="005E0AC2" w:rsidP="00913F1E">
      <w:pPr>
        <w:pStyle w:val="Default"/>
        <w:ind w:firstLine="567"/>
        <w:jc w:val="both"/>
      </w:pPr>
      <w:r>
        <w:rPr>
          <w:sz w:val="20"/>
          <w:szCs w:val="20"/>
        </w:rPr>
        <w:t xml:space="preserve">Должность: </w:t>
      </w:r>
      <w:r>
        <w:rPr>
          <w:rFonts w:ascii="Arial" w:hAnsi="Arial" w:cs="Arial"/>
          <w:b/>
          <w:bCs/>
          <w:i/>
          <w:iCs/>
          <w:color w:val="auto"/>
          <w:sz w:val="20"/>
          <w:szCs w:val="20"/>
        </w:rPr>
        <w:t>Главный бухгалтер</w:t>
      </w:r>
    </w:p>
    <w:p w:rsidR="008159EF" w:rsidRDefault="008159EF">
      <w:pPr>
        <w:widowControl/>
        <w:autoSpaceDE/>
        <w:autoSpaceDN/>
        <w:adjustRightInd/>
        <w:spacing w:before="0" w:after="200" w:line="276" w:lineRule="auto"/>
      </w:pPr>
      <w:r>
        <w:br w:type="page"/>
      </w:r>
    </w:p>
    <w:p w:rsidR="000647F2" w:rsidRPr="00D740EC" w:rsidRDefault="000647F2" w:rsidP="000647F2">
      <w:pPr>
        <w:pStyle w:val="ConsPlusNormal"/>
        <w:ind w:firstLine="540"/>
        <w:jc w:val="both"/>
        <w:outlineLvl w:val="0"/>
        <w:rPr>
          <w:b/>
          <w:sz w:val="32"/>
          <w:szCs w:val="32"/>
        </w:rPr>
      </w:pPr>
      <w:bookmarkStart w:id="12" w:name="_Toc448251118"/>
      <w:r w:rsidRPr="00D740EC">
        <w:rPr>
          <w:b/>
          <w:sz w:val="32"/>
          <w:szCs w:val="32"/>
        </w:rPr>
        <w:t>Раздел II. Основная информация о финансово-экономическом состоянии эмитента</w:t>
      </w:r>
      <w:bookmarkEnd w:id="12"/>
    </w:p>
    <w:p w:rsidR="000647F2" w:rsidRDefault="000647F2" w:rsidP="000647F2">
      <w:pPr>
        <w:pStyle w:val="ConsPlusNormal"/>
        <w:jc w:val="both"/>
        <w:rPr>
          <w:rFonts w:ascii="Times New Roman" w:hAnsi="Times New Roman" w:cs="Times New Roman"/>
        </w:rPr>
      </w:pPr>
    </w:p>
    <w:p w:rsidR="000647F2" w:rsidRPr="00D740EC" w:rsidRDefault="000647F2" w:rsidP="000647F2">
      <w:pPr>
        <w:pStyle w:val="ConsPlusNormal"/>
        <w:ind w:firstLine="540"/>
        <w:jc w:val="both"/>
        <w:outlineLvl w:val="1"/>
        <w:rPr>
          <w:b/>
          <w:i/>
          <w:sz w:val="28"/>
          <w:szCs w:val="28"/>
        </w:rPr>
      </w:pPr>
      <w:bookmarkStart w:id="13" w:name="_Toc448251119"/>
      <w:r w:rsidRPr="00D740EC">
        <w:rPr>
          <w:b/>
          <w:i/>
          <w:sz w:val="28"/>
          <w:szCs w:val="28"/>
        </w:rPr>
        <w:t>2.1. Показатели финансово-экономической деятельности эмитента</w:t>
      </w:r>
      <w:bookmarkEnd w:id="13"/>
    </w:p>
    <w:p w:rsidR="000647F2" w:rsidRDefault="000647F2" w:rsidP="000647F2">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0647F2" w:rsidRDefault="000647F2" w:rsidP="000647F2">
      <w:pPr>
        <w:pStyle w:val="ConsPlusNormal"/>
        <w:jc w:val="both"/>
        <w:rPr>
          <w:rFonts w:ascii="Times New Roman" w:hAnsi="Times New Roman" w:cs="Times New Roman"/>
        </w:rPr>
      </w:pPr>
    </w:p>
    <w:p w:rsidR="000647F2" w:rsidRPr="00D740EC" w:rsidRDefault="000647F2" w:rsidP="000647F2">
      <w:pPr>
        <w:pStyle w:val="ConsPlusNormal"/>
        <w:ind w:firstLine="540"/>
        <w:jc w:val="both"/>
        <w:outlineLvl w:val="1"/>
        <w:rPr>
          <w:b/>
          <w:i/>
          <w:sz w:val="28"/>
          <w:szCs w:val="28"/>
        </w:rPr>
      </w:pPr>
      <w:bookmarkStart w:id="14" w:name="_Toc448251120"/>
      <w:r w:rsidRPr="00D740EC">
        <w:rPr>
          <w:b/>
          <w:i/>
          <w:sz w:val="28"/>
          <w:szCs w:val="28"/>
        </w:rPr>
        <w:t>2.2. Рыночная капитализация эмитента</w:t>
      </w:r>
      <w:bookmarkEnd w:id="14"/>
    </w:p>
    <w:p w:rsidR="000647F2" w:rsidRDefault="000647F2" w:rsidP="000647F2">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0647F2" w:rsidRDefault="000647F2" w:rsidP="000647F2">
      <w:pPr>
        <w:pStyle w:val="ConsPlusNormal"/>
        <w:jc w:val="both"/>
        <w:rPr>
          <w:rFonts w:ascii="Times New Roman" w:hAnsi="Times New Roman" w:cs="Times New Roman"/>
        </w:rPr>
      </w:pPr>
    </w:p>
    <w:p w:rsidR="000647F2" w:rsidRPr="00D740EC" w:rsidRDefault="000647F2" w:rsidP="000647F2">
      <w:pPr>
        <w:pStyle w:val="ConsPlusNormal"/>
        <w:ind w:firstLine="540"/>
        <w:jc w:val="both"/>
        <w:outlineLvl w:val="1"/>
        <w:rPr>
          <w:b/>
          <w:i/>
          <w:sz w:val="28"/>
          <w:szCs w:val="28"/>
        </w:rPr>
      </w:pPr>
      <w:bookmarkStart w:id="15" w:name="_Toc448251121"/>
      <w:r w:rsidRPr="00D740EC">
        <w:rPr>
          <w:b/>
          <w:i/>
          <w:sz w:val="28"/>
          <w:szCs w:val="28"/>
        </w:rPr>
        <w:t>2.3. Обязательства эмитента</w:t>
      </w:r>
      <w:bookmarkEnd w:id="15"/>
    </w:p>
    <w:p w:rsidR="000647F2" w:rsidRDefault="000647F2" w:rsidP="000647F2">
      <w:pPr>
        <w:pStyle w:val="ConsPlusNormal"/>
        <w:jc w:val="both"/>
        <w:rPr>
          <w:rFonts w:ascii="Times New Roman" w:hAnsi="Times New Roman" w:cs="Times New Roman"/>
        </w:rPr>
      </w:pPr>
    </w:p>
    <w:p w:rsidR="000647F2" w:rsidRPr="002E4F70" w:rsidRDefault="000647F2" w:rsidP="000647F2">
      <w:pPr>
        <w:pStyle w:val="ConsPlusNormal"/>
        <w:ind w:firstLine="540"/>
        <w:jc w:val="both"/>
        <w:outlineLvl w:val="2"/>
        <w:rPr>
          <w:b/>
          <w:sz w:val="26"/>
          <w:szCs w:val="26"/>
        </w:rPr>
      </w:pPr>
      <w:bookmarkStart w:id="16" w:name="_Toc448251122"/>
      <w:r w:rsidRPr="002E4F70">
        <w:rPr>
          <w:b/>
          <w:sz w:val="26"/>
          <w:szCs w:val="26"/>
        </w:rPr>
        <w:t>2.3.1. Заемные средства и кредиторская задолженность</w:t>
      </w:r>
      <w:bookmarkEnd w:id="16"/>
    </w:p>
    <w:p w:rsidR="006B679B" w:rsidRDefault="006B679B" w:rsidP="00EA5AEC">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0647F2" w:rsidRDefault="000647F2" w:rsidP="002E4F70">
      <w:pPr>
        <w:pStyle w:val="ConsPlusNormal"/>
        <w:ind w:firstLine="540"/>
        <w:jc w:val="both"/>
        <w:rPr>
          <w:rFonts w:ascii="Times New Roman" w:hAnsi="Times New Roman" w:cs="Times New Roman"/>
        </w:rPr>
      </w:pPr>
    </w:p>
    <w:p w:rsidR="000647F2" w:rsidRPr="002E4F70" w:rsidRDefault="000647F2" w:rsidP="000647F2">
      <w:pPr>
        <w:pStyle w:val="ConsPlusNormal"/>
        <w:ind w:firstLine="540"/>
        <w:jc w:val="both"/>
        <w:outlineLvl w:val="2"/>
        <w:rPr>
          <w:b/>
          <w:sz w:val="26"/>
          <w:szCs w:val="26"/>
        </w:rPr>
      </w:pPr>
      <w:bookmarkStart w:id="17" w:name="_Toc448251123"/>
      <w:r w:rsidRPr="002E4F70">
        <w:rPr>
          <w:b/>
          <w:sz w:val="26"/>
          <w:szCs w:val="26"/>
        </w:rPr>
        <w:t>2.3.2. Кредитная история эмитента</w:t>
      </w:r>
      <w:bookmarkEnd w:id="17"/>
    </w:p>
    <w:p w:rsidR="000647F2" w:rsidRDefault="000647F2" w:rsidP="000647F2">
      <w:pPr>
        <w:pStyle w:val="ConsPlusNormal"/>
        <w:ind w:firstLine="540"/>
        <w:jc w:val="both"/>
        <w:rPr>
          <w:rFonts w:ascii="Times New Roman" w:hAnsi="Times New Roman" w:cs="Times New Roman"/>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0647F2" w:rsidRDefault="000647F2" w:rsidP="002E4F70">
      <w:pPr>
        <w:pStyle w:val="ConsPlusNormal"/>
        <w:ind w:firstLine="540"/>
        <w:jc w:val="both"/>
        <w:rPr>
          <w:rFonts w:ascii="Times New Roman" w:hAnsi="Times New Roman" w:cs="Times New Roman"/>
        </w:rPr>
      </w:pPr>
    </w:p>
    <w:p w:rsidR="000647F2" w:rsidRPr="002E4F70" w:rsidRDefault="000647F2" w:rsidP="000647F2">
      <w:pPr>
        <w:pStyle w:val="ConsPlusNormal"/>
        <w:ind w:firstLine="540"/>
        <w:jc w:val="both"/>
        <w:outlineLvl w:val="2"/>
        <w:rPr>
          <w:b/>
          <w:sz w:val="26"/>
          <w:szCs w:val="26"/>
        </w:rPr>
      </w:pPr>
      <w:bookmarkStart w:id="18" w:name="_Toc448251124"/>
      <w:r w:rsidRPr="002E4F70">
        <w:rPr>
          <w:b/>
          <w:sz w:val="26"/>
          <w:szCs w:val="26"/>
        </w:rPr>
        <w:t>2.3.3. Обязательства эмитента из предоставленного им обеспечения</w:t>
      </w:r>
      <w:bookmarkEnd w:id="18"/>
    </w:p>
    <w:p w:rsidR="000647F2" w:rsidRDefault="000647F2" w:rsidP="000647F2">
      <w:pPr>
        <w:pStyle w:val="ConsPlusNormal"/>
        <w:ind w:firstLine="540"/>
        <w:jc w:val="both"/>
        <w:rPr>
          <w:rFonts w:ascii="Times New Roman" w:hAnsi="Times New Roman" w:cs="Times New Roman"/>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0647F2" w:rsidRDefault="000647F2" w:rsidP="000647F2">
      <w:pPr>
        <w:pStyle w:val="ConsPlusNormal"/>
        <w:jc w:val="both"/>
        <w:rPr>
          <w:rFonts w:ascii="Times New Roman" w:hAnsi="Times New Roman" w:cs="Times New Roman"/>
        </w:rPr>
      </w:pPr>
    </w:p>
    <w:p w:rsidR="000647F2" w:rsidRPr="002E4F70" w:rsidRDefault="000647F2" w:rsidP="000647F2">
      <w:pPr>
        <w:pStyle w:val="ConsPlusNormal"/>
        <w:ind w:firstLine="540"/>
        <w:jc w:val="both"/>
        <w:outlineLvl w:val="2"/>
        <w:rPr>
          <w:b/>
          <w:sz w:val="26"/>
          <w:szCs w:val="26"/>
        </w:rPr>
      </w:pPr>
      <w:bookmarkStart w:id="19" w:name="_Toc448251125"/>
      <w:r w:rsidRPr="002E4F70">
        <w:rPr>
          <w:b/>
          <w:sz w:val="26"/>
          <w:szCs w:val="26"/>
        </w:rPr>
        <w:t>2.3.4. Прочие обязательства эмитента</w:t>
      </w:r>
      <w:bookmarkEnd w:id="19"/>
    </w:p>
    <w:p w:rsidR="000647F2" w:rsidRDefault="000647F2" w:rsidP="000647F2">
      <w:pPr>
        <w:pStyle w:val="ConsPlusNormal"/>
        <w:ind w:firstLine="540"/>
        <w:jc w:val="both"/>
        <w:rPr>
          <w:rFonts w:ascii="Times New Roman" w:hAnsi="Times New Roman" w:cs="Times New Roman"/>
        </w:rPr>
      </w:pPr>
    </w:p>
    <w:p w:rsidR="000647F2" w:rsidRDefault="000647F2" w:rsidP="000647F2">
      <w:pPr>
        <w:pStyle w:val="ConsPlusNormal"/>
        <w:ind w:firstLine="540"/>
        <w:jc w:val="both"/>
        <w:rPr>
          <w:rFonts w:ascii="Times New Roman" w:hAnsi="Times New Roman" w:cs="Times New Roman"/>
        </w:rPr>
      </w:pPr>
      <w:r>
        <w:rPr>
          <w:rFonts w:ascii="Times New Roman" w:hAnsi="Times New Roman" w:cs="Times New Roman"/>
        </w:rPr>
        <w:t>Указываются любые соглашения эмитента, включая срочные сделки, не отраженные в его бухгалтерской (финансовой) отчетности, которые могут существенным образом отразиться на финансовом состоянии эмитента, его ликвидности, источниках финансирования и условиях их использования, результатах деятельности и расходах.</w:t>
      </w:r>
    </w:p>
    <w:p w:rsidR="000647F2" w:rsidRPr="000647F2" w:rsidRDefault="000647F2" w:rsidP="000647F2">
      <w:pPr>
        <w:pStyle w:val="ConsPlusNormal"/>
        <w:ind w:firstLine="540"/>
        <w:jc w:val="both"/>
        <w:rPr>
          <w:b/>
          <w:i/>
        </w:rPr>
      </w:pPr>
    </w:p>
    <w:p w:rsidR="000647F2" w:rsidRDefault="000647F2" w:rsidP="000647F2">
      <w:pPr>
        <w:pStyle w:val="ConsPlusNormal"/>
        <w:ind w:firstLine="540"/>
        <w:jc w:val="both"/>
        <w:rPr>
          <w:b/>
          <w:bCs/>
          <w:i/>
          <w:iCs/>
        </w:rPr>
      </w:pPr>
      <w:r>
        <w:rPr>
          <w:b/>
          <w:i/>
        </w:rPr>
        <w:t xml:space="preserve">Прочих обязательств, не отраженных в бухгалтерской (финансовой) отчетности, которые могут существенным образом отразиться на финансовом состоянии </w:t>
      </w:r>
      <w:r w:rsidR="00C721AD">
        <w:rPr>
          <w:b/>
          <w:i/>
        </w:rPr>
        <w:t>Эмитента</w:t>
      </w:r>
      <w:r>
        <w:rPr>
          <w:b/>
          <w:i/>
        </w:rPr>
        <w:t>, его ликвидности, источниках финансирования и условиях их использования, результатах деятельности и расходов, не имеется.</w:t>
      </w:r>
    </w:p>
    <w:p w:rsidR="000647F2" w:rsidRDefault="000647F2" w:rsidP="000647F2">
      <w:pPr>
        <w:pStyle w:val="ConsPlusNormal"/>
        <w:jc w:val="both"/>
        <w:rPr>
          <w:rFonts w:ascii="Times New Roman" w:hAnsi="Times New Roman" w:cs="Times New Roman"/>
        </w:rPr>
      </w:pPr>
    </w:p>
    <w:p w:rsidR="000647F2" w:rsidRPr="002E4F70" w:rsidRDefault="000647F2" w:rsidP="000647F2">
      <w:pPr>
        <w:pStyle w:val="ConsPlusNormal"/>
        <w:ind w:firstLine="540"/>
        <w:jc w:val="both"/>
        <w:outlineLvl w:val="1"/>
        <w:rPr>
          <w:b/>
          <w:i/>
          <w:sz w:val="28"/>
          <w:szCs w:val="28"/>
        </w:rPr>
      </w:pPr>
      <w:bookmarkStart w:id="20" w:name="_Toc448251126"/>
      <w:r w:rsidRPr="002E4F70">
        <w:rPr>
          <w:b/>
          <w:i/>
          <w:sz w:val="28"/>
          <w:szCs w:val="28"/>
        </w:rPr>
        <w:t>2.4. Цели эмиссии и направления использования средств, полученных в результате размещения эмиссионных ценных бумаг</w:t>
      </w:r>
      <w:bookmarkEnd w:id="20"/>
    </w:p>
    <w:p w:rsidR="007A47A2" w:rsidRDefault="007A47A2" w:rsidP="00291467">
      <w:pPr>
        <w:pStyle w:val="ConsPlusNormal"/>
        <w:ind w:firstLine="540"/>
        <w:jc w:val="both"/>
        <w:rPr>
          <w:rFonts w:ascii="Times New Roman" w:hAnsi="Times New Roman" w:cs="Times New Roman"/>
        </w:rPr>
      </w:pPr>
    </w:p>
    <w:p w:rsidR="007A47A2" w:rsidRDefault="000647F2" w:rsidP="00291467">
      <w:pPr>
        <w:pStyle w:val="ConsPlusNormal"/>
        <w:ind w:firstLine="540"/>
        <w:jc w:val="both"/>
        <w:rPr>
          <w:rFonts w:ascii="Times New Roman" w:hAnsi="Times New Roman" w:cs="Times New Roman"/>
        </w:rPr>
      </w:pPr>
      <w:r>
        <w:rPr>
          <w:rFonts w:ascii="Times New Roman" w:hAnsi="Times New Roman" w:cs="Times New Roman"/>
        </w:rPr>
        <w:t>В случае размещения ценных бумаг путем подписки указываются цели эмиссии и направления использования средств, полученных в результате размещения ценных бумаг.</w:t>
      </w:r>
      <w:r w:rsidR="00291467" w:rsidRPr="00291467">
        <w:rPr>
          <w:rFonts w:ascii="Times New Roman" w:hAnsi="Times New Roman" w:cs="Times New Roman"/>
        </w:rPr>
        <w:t xml:space="preserve"> </w:t>
      </w:r>
    </w:p>
    <w:p w:rsidR="007A47A2" w:rsidRDefault="007A47A2" w:rsidP="00291467">
      <w:pPr>
        <w:pStyle w:val="ConsPlusNormal"/>
        <w:ind w:firstLine="540"/>
        <w:jc w:val="both"/>
        <w:rPr>
          <w:rFonts w:ascii="Times New Roman" w:hAnsi="Times New Roman" w:cs="Times New Roman"/>
        </w:rPr>
      </w:pPr>
    </w:p>
    <w:p w:rsidR="00291467" w:rsidRDefault="00291467" w:rsidP="00291467">
      <w:pPr>
        <w:pStyle w:val="ConsPlusNormal"/>
        <w:ind w:firstLine="540"/>
        <w:jc w:val="both"/>
        <w:rPr>
          <w:b/>
          <w:bCs/>
          <w:i/>
          <w:iCs/>
        </w:rPr>
      </w:pPr>
      <w:r w:rsidRPr="00291467">
        <w:rPr>
          <w:b/>
          <w:bCs/>
          <w:i/>
          <w:iCs/>
        </w:rPr>
        <w:t>Основными целями эмиссии</w:t>
      </w:r>
      <w:r>
        <w:rPr>
          <w:b/>
          <w:bCs/>
          <w:i/>
          <w:iCs/>
        </w:rPr>
        <w:t xml:space="preserve"> является привлечение денежных средств для финансирования основной хозяйственной деятельности Эмитента и/или оптимизации структуры кредитного портфеля и/или осуществления инвестиций. </w:t>
      </w:r>
    </w:p>
    <w:p w:rsidR="00C37077" w:rsidRDefault="00C37077" w:rsidP="00C37077">
      <w:pPr>
        <w:pStyle w:val="ConsPlusNormal"/>
        <w:ind w:firstLine="540"/>
        <w:jc w:val="both"/>
        <w:rPr>
          <w:rFonts w:ascii="Times New Roman" w:hAnsi="Times New Roman" w:cs="Times New Roman"/>
        </w:rPr>
      </w:pPr>
      <w:r>
        <w:rPr>
          <w:b/>
          <w:bCs/>
          <w:i/>
          <w:iCs/>
        </w:rPr>
        <w:t>Размещение Биржевых облигаций не осуществляется с целью финансирования определенной сделки (взаимосвязанных сделок) или иной операции.</w:t>
      </w:r>
    </w:p>
    <w:p w:rsidR="000647F2" w:rsidRDefault="000647F2" w:rsidP="000647F2">
      <w:pPr>
        <w:pStyle w:val="ConsPlusNormal"/>
        <w:jc w:val="both"/>
        <w:rPr>
          <w:rFonts w:ascii="Times New Roman" w:hAnsi="Times New Roman" w:cs="Times New Roman"/>
        </w:rPr>
      </w:pPr>
    </w:p>
    <w:p w:rsidR="000647F2" w:rsidRPr="002E4F70" w:rsidRDefault="000647F2" w:rsidP="000647F2">
      <w:pPr>
        <w:pStyle w:val="ConsPlusNormal"/>
        <w:ind w:firstLine="540"/>
        <w:jc w:val="both"/>
        <w:outlineLvl w:val="1"/>
        <w:rPr>
          <w:b/>
          <w:i/>
          <w:sz w:val="28"/>
          <w:szCs w:val="28"/>
        </w:rPr>
      </w:pPr>
      <w:bookmarkStart w:id="21" w:name="_Toc448251127"/>
      <w:r w:rsidRPr="002E4F70">
        <w:rPr>
          <w:b/>
          <w:i/>
          <w:sz w:val="28"/>
          <w:szCs w:val="28"/>
        </w:rPr>
        <w:t>2.5. Риски, связанные с приобретением размещаемых эмиссионных ценных бумаг</w:t>
      </w:r>
      <w:bookmarkEnd w:id="21"/>
    </w:p>
    <w:p w:rsidR="007A47A2" w:rsidRDefault="007A47A2" w:rsidP="000647F2">
      <w:pPr>
        <w:pStyle w:val="ConsPlusNormal"/>
        <w:ind w:firstLine="540"/>
        <w:jc w:val="both"/>
        <w:rPr>
          <w:rFonts w:ascii="Times New Roman" w:hAnsi="Times New Roman" w:cs="Times New Roman"/>
        </w:rPr>
      </w:pPr>
    </w:p>
    <w:p w:rsidR="000647F2" w:rsidRDefault="000647F2" w:rsidP="000647F2">
      <w:pPr>
        <w:pStyle w:val="ConsPlusNormal"/>
        <w:ind w:firstLine="540"/>
        <w:jc w:val="both"/>
        <w:rPr>
          <w:rFonts w:ascii="Times New Roman" w:hAnsi="Times New Roman" w:cs="Times New Roman"/>
        </w:rPr>
      </w:pPr>
      <w:r>
        <w:rPr>
          <w:rFonts w:ascii="Times New Roman" w:hAnsi="Times New Roman" w:cs="Times New Roman"/>
        </w:rPr>
        <w:t>Приводится подробный анализ факторов риска, связанных с приобретением размещаемых ценных бумаг, в частности:</w:t>
      </w:r>
    </w:p>
    <w:p w:rsidR="000647F2" w:rsidRDefault="000647F2" w:rsidP="000647F2">
      <w:pPr>
        <w:pStyle w:val="ConsPlusNormal"/>
        <w:ind w:firstLine="540"/>
        <w:jc w:val="both"/>
        <w:rPr>
          <w:rFonts w:ascii="Times New Roman" w:hAnsi="Times New Roman" w:cs="Times New Roman"/>
        </w:rPr>
      </w:pPr>
      <w:r>
        <w:rPr>
          <w:rFonts w:ascii="Times New Roman" w:hAnsi="Times New Roman" w:cs="Times New Roman"/>
        </w:rPr>
        <w:t>отраслевые риски;</w:t>
      </w:r>
    </w:p>
    <w:p w:rsidR="000647F2" w:rsidRDefault="000647F2" w:rsidP="000647F2">
      <w:pPr>
        <w:pStyle w:val="ConsPlusNormal"/>
        <w:ind w:firstLine="540"/>
        <w:jc w:val="both"/>
        <w:rPr>
          <w:rFonts w:ascii="Times New Roman" w:hAnsi="Times New Roman" w:cs="Times New Roman"/>
        </w:rPr>
      </w:pPr>
      <w:r>
        <w:rPr>
          <w:rFonts w:ascii="Times New Roman" w:hAnsi="Times New Roman" w:cs="Times New Roman"/>
        </w:rPr>
        <w:t>страновые и региональные риски;</w:t>
      </w:r>
    </w:p>
    <w:p w:rsidR="000647F2" w:rsidRDefault="000647F2" w:rsidP="000647F2">
      <w:pPr>
        <w:pStyle w:val="ConsPlusNormal"/>
        <w:ind w:firstLine="540"/>
        <w:jc w:val="both"/>
        <w:rPr>
          <w:rFonts w:ascii="Times New Roman" w:hAnsi="Times New Roman" w:cs="Times New Roman"/>
        </w:rPr>
      </w:pPr>
      <w:r>
        <w:rPr>
          <w:rFonts w:ascii="Times New Roman" w:hAnsi="Times New Roman" w:cs="Times New Roman"/>
        </w:rPr>
        <w:t>финансовые риски;</w:t>
      </w:r>
    </w:p>
    <w:p w:rsidR="000647F2" w:rsidRDefault="000647F2" w:rsidP="000647F2">
      <w:pPr>
        <w:pStyle w:val="ConsPlusNormal"/>
        <w:ind w:firstLine="540"/>
        <w:jc w:val="both"/>
        <w:rPr>
          <w:rFonts w:ascii="Times New Roman" w:hAnsi="Times New Roman" w:cs="Times New Roman"/>
        </w:rPr>
      </w:pPr>
      <w:r>
        <w:rPr>
          <w:rFonts w:ascii="Times New Roman" w:hAnsi="Times New Roman" w:cs="Times New Roman"/>
        </w:rPr>
        <w:t>правовые риски;</w:t>
      </w:r>
    </w:p>
    <w:p w:rsidR="000647F2" w:rsidRDefault="000647F2" w:rsidP="000647F2">
      <w:pPr>
        <w:pStyle w:val="ConsPlusNormal"/>
        <w:ind w:firstLine="540"/>
        <w:jc w:val="both"/>
        <w:rPr>
          <w:rFonts w:ascii="Times New Roman" w:hAnsi="Times New Roman" w:cs="Times New Roman"/>
        </w:rPr>
      </w:pPr>
      <w:r>
        <w:rPr>
          <w:rFonts w:ascii="Times New Roman" w:hAnsi="Times New Roman" w:cs="Times New Roman"/>
        </w:rPr>
        <w:t>риск потери деловой репутации (репутационный риск);</w:t>
      </w:r>
    </w:p>
    <w:p w:rsidR="000647F2" w:rsidRDefault="000647F2" w:rsidP="000647F2">
      <w:pPr>
        <w:pStyle w:val="ConsPlusNormal"/>
        <w:ind w:firstLine="540"/>
        <w:jc w:val="both"/>
        <w:rPr>
          <w:rFonts w:ascii="Times New Roman" w:hAnsi="Times New Roman" w:cs="Times New Roman"/>
        </w:rPr>
      </w:pPr>
      <w:r>
        <w:rPr>
          <w:rFonts w:ascii="Times New Roman" w:hAnsi="Times New Roman" w:cs="Times New Roman"/>
        </w:rPr>
        <w:t>стратегический риск;</w:t>
      </w:r>
    </w:p>
    <w:p w:rsidR="000647F2" w:rsidRDefault="000647F2" w:rsidP="000647F2">
      <w:pPr>
        <w:pStyle w:val="ConsPlusNormal"/>
        <w:ind w:firstLine="540"/>
        <w:jc w:val="both"/>
        <w:rPr>
          <w:rFonts w:ascii="Times New Roman" w:hAnsi="Times New Roman" w:cs="Times New Roman"/>
        </w:rPr>
      </w:pPr>
      <w:r>
        <w:rPr>
          <w:rFonts w:ascii="Times New Roman" w:hAnsi="Times New Roman" w:cs="Times New Roman"/>
        </w:rPr>
        <w:t>риски, связанные с деятельностью эмитента;</w:t>
      </w:r>
    </w:p>
    <w:p w:rsidR="000647F2" w:rsidRDefault="000647F2" w:rsidP="000647F2">
      <w:pPr>
        <w:pStyle w:val="ConsPlusNormal"/>
        <w:ind w:firstLine="540"/>
        <w:jc w:val="both"/>
        <w:rPr>
          <w:rFonts w:ascii="Times New Roman" w:hAnsi="Times New Roman" w:cs="Times New Roman"/>
        </w:rPr>
      </w:pPr>
      <w:r>
        <w:rPr>
          <w:rFonts w:ascii="Times New Roman" w:hAnsi="Times New Roman" w:cs="Times New Roman"/>
        </w:rPr>
        <w:t>банковские риски.</w:t>
      </w:r>
    </w:p>
    <w:p w:rsidR="000647F2" w:rsidRDefault="000647F2" w:rsidP="000647F2">
      <w:pPr>
        <w:pStyle w:val="ConsPlusNormal"/>
        <w:ind w:firstLine="540"/>
        <w:jc w:val="both"/>
        <w:rPr>
          <w:rFonts w:ascii="Times New Roman" w:hAnsi="Times New Roman" w:cs="Times New Roman"/>
        </w:rPr>
      </w:pPr>
    </w:p>
    <w:p w:rsidR="000647F2" w:rsidRDefault="000647F2" w:rsidP="000647F2">
      <w:pPr>
        <w:pStyle w:val="ConsPlusNormal"/>
        <w:ind w:firstLine="540"/>
        <w:jc w:val="both"/>
        <w:rPr>
          <w:rFonts w:ascii="Times New Roman" w:hAnsi="Times New Roman" w:cs="Times New Roman"/>
        </w:rPr>
      </w:pPr>
      <w:r>
        <w:rPr>
          <w:rFonts w:ascii="Times New Roman" w:hAnsi="Times New Roman" w:cs="Times New Roman"/>
        </w:rPr>
        <w:t>Политика эмитента в области управления рисками:</w:t>
      </w:r>
    </w:p>
    <w:p w:rsidR="000647F2" w:rsidRDefault="000647F2" w:rsidP="000647F2">
      <w:pPr>
        <w:pStyle w:val="ConsPlusNormal"/>
        <w:ind w:firstLine="540"/>
        <w:jc w:val="both"/>
        <w:rPr>
          <w:rFonts w:ascii="Times New Roman" w:hAnsi="Times New Roman" w:cs="Times New Roman"/>
        </w:rPr>
      </w:pPr>
    </w:p>
    <w:p w:rsidR="00BF5D13" w:rsidRDefault="00BF5D13" w:rsidP="00BF5D13">
      <w:pPr>
        <w:widowControl/>
        <w:spacing w:before="0" w:after="0"/>
        <w:ind w:firstLine="567"/>
        <w:jc w:val="both"/>
        <w:rPr>
          <w:rFonts w:ascii="Arial" w:hAnsi="Arial" w:cs="Arial"/>
          <w:b/>
          <w:i/>
        </w:rPr>
      </w:pPr>
      <w:r>
        <w:rPr>
          <w:rFonts w:ascii="Arial" w:hAnsi="Arial" w:cs="Arial"/>
          <w:b/>
          <w:i/>
        </w:rPr>
        <w:t xml:space="preserve">В целях совершенствования системы корпоративного управления, в том числе управления рисками, Советом директоров Эмитента 08.04.2013 было принято решение о создании Комитета по Аудиту Совета директоров ЗАО ССМО «ЛенСпецСМУ», действующий в настоящее время Комитет по аудиту Совета директоров переизбран 27.04.2015, протокол заседания Совета директоров № 149 от 27.04.2015. </w:t>
      </w:r>
    </w:p>
    <w:p w:rsidR="00BF5D13" w:rsidRDefault="00BF5D13" w:rsidP="00BF5D13">
      <w:pPr>
        <w:widowControl/>
        <w:spacing w:before="0" w:after="0"/>
        <w:ind w:firstLine="567"/>
        <w:jc w:val="both"/>
        <w:rPr>
          <w:rFonts w:ascii="Arial" w:hAnsi="Arial" w:cs="Arial"/>
          <w:b/>
          <w:i/>
        </w:rPr>
      </w:pPr>
      <w:r>
        <w:rPr>
          <w:rFonts w:ascii="Arial" w:hAnsi="Arial" w:cs="Arial"/>
          <w:b/>
          <w:i/>
        </w:rPr>
        <w:t>Комитет по аудиту Совета директоров ЗАО ССМО «ЛенСпецСМУ» вправе, в том числе:</w:t>
      </w:r>
    </w:p>
    <w:p w:rsidR="00BF5D13" w:rsidRDefault="00BF5D13" w:rsidP="00391F22">
      <w:pPr>
        <w:pStyle w:val="a9"/>
        <w:widowControl/>
        <w:numPr>
          <w:ilvl w:val="0"/>
          <w:numId w:val="2"/>
        </w:numPr>
        <w:spacing w:before="0" w:after="0"/>
        <w:ind w:left="0" w:firstLine="567"/>
        <w:jc w:val="both"/>
        <w:rPr>
          <w:rFonts w:ascii="Arial" w:hAnsi="Arial" w:cs="Arial"/>
          <w:b/>
          <w:i/>
        </w:rPr>
      </w:pPr>
      <w:r>
        <w:rPr>
          <w:rFonts w:ascii="Arial" w:hAnsi="Arial" w:cs="Arial"/>
          <w:b/>
          <w:i/>
        </w:rPr>
        <w:t xml:space="preserve">рассматривать информацию исполнительных органов Эмитента и внешних аудиторов Эмитента о наиболее существенных рисках в деятельности Эмитента и планах по их минимизации; </w:t>
      </w:r>
    </w:p>
    <w:p w:rsidR="00BF5D13" w:rsidRDefault="00BF5D13" w:rsidP="00391F22">
      <w:pPr>
        <w:pStyle w:val="a9"/>
        <w:widowControl/>
        <w:numPr>
          <w:ilvl w:val="0"/>
          <w:numId w:val="2"/>
        </w:numPr>
        <w:spacing w:before="0" w:after="0"/>
        <w:ind w:left="0" w:firstLine="567"/>
        <w:jc w:val="both"/>
        <w:rPr>
          <w:rFonts w:ascii="Arial" w:hAnsi="Arial" w:cs="Arial"/>
          <w:b/>
          <w:i/>
        </w:rPr>
      </w:pPr>
      <w:r>
        <w:rPr>
          <w:rFonts w:ascii="Arial" w:hAnsi="Arial" w:cs="Arial"/>
          <w:b/>
          <w:i/>
        </w:rPr>
        <w:t xml:space="preserve">проводить оценку областей наиболее существенных рисков Эмитента и степени эффективности работы исполнительных органов Эмитента по управлению этими рисками; </w:t>
      </w:r>
    </w:p>
    <w:p w:rsidR="00BF5D13" w:rsidRDefault="00BF5D13" w:rsidP="00391F22">
      <w:pPr>
        <w:pStyle w:val="a9"/>
        <w:widowControl/>
        <w:numPr>
          <w:ilvl w:val="0"/>
          <w:numId w:val="2"/>
        </w:numPr>
        <w:spacing w:before="0" w:after="0"/>
        <w:ind w:left="0" w:firstLine="567"/>
        <w:jc w:val="both"/>
        <w:rPr>
          <w:rFonts w:ascii="Arial" w:hAnsi="Arial" w:cs="Arial"/>
          <w:b/>
          <w:i/>
        </w:rPr>
      </w:pPr>
      <w:r>
        <w:rPr>
          <w:rFonts w:ascii="Arial" w:hAnsi="Arial" w:cs="Arial"/>
          <w:b/>
          <w:i/>
        </w:rPr>
        <w:t>готовить предложения по совершенствованию системы управления рисками Эмитента.</w:t>
      </w:r>
    </w:p>
    <w:p w:rsidR="00BF5D13" w:rsidRDefault="00BF5D13" w:rsidP="00BF5D13">
      <w:pPr>
        <w:widowControl/>
        <w:spacing w:before="0" w:after="0"/>
        <w:ind w:firstLine="567"/>
        <w:jc w:val="both"/>
        <w:rPr>
          <w:rFonts w:ascii="Arial" w:hAnsi="Arial" w:cs="Arial"/>
        </w:rPr>
      </w:pPr>
    </w:p>
    <w:p w:rsidR="00BF5D13" w:rsidRDefault="00BF5D13" w:rsidP="00BF5D13">
      <w:pPr>
        <w:widowControl/>
        <w:spacing w:before="0" w:after="0"/>
        <w:ind w:firstLine="567"/>
        <w:jc w:val="both"/>
        <w:rPr>
          <w:rFonts w:ascii="Arial" w:hAnsi="Arial" w:cs="Arial"/>
          <w:b/>
          <w:i/>
        </w:rPr>
      </w:pPr>
      <w:r>
        <w:rPr>
          <w:rFonts w:ascii="Arial" w:hAnsi="Arial" w:cs="Arial"/>
          <w:b/>
          <w:i/>
        </w:rPr>
        <w:t xml:space="preserve">В 2014 году в Обществе была сформирована Служба внутреннего аудита, функциями которой стали: </w:t>
      </w:r>
    </w:p>
    <w:p w:rsidR="00BF5D13" w:rsidRDefault="00BF5D13" w:rsidP="00391F22">
      <w:pPr>
        <w:pStyle w:val="a9"/>
        <w:widowControl/>
        <w:numPr>
          <w:ilvl w:val="0"/>
          <w:numId w:val="2"/>
        </w:numPr>
        <w:spacing w:before="0" w:after="0"/>
        <w:ind w:left="0" w:firstLine="567"/>
        <w:jc w:val="both"/>
        <w:rPr>
          <w:rFonts w:ascii="Arial" w:hAnsi="Arial" w:cs="Arial"/>
          <w:b/>
          <w:i/>
        </w:rPr>
      </w:pPr>
      <w:r>
        <w:rPr>
          <w:rFonts w:ascii="Arial" w:hAnsi="Arial" w:cs="Arial"/>
          <w:b/>
          <w:i/>
        </w:rPr>
        <w:t xml:space="preserve">оценка эффективности системы управления рисками; </w:t>
      </w:r>
    </w:p>
    <w:p w:rsidR="00BF5D13" w:rsidRDefault="00BF5D13" w:rsidP="00391F22">
      <w:pPr>
        <w:pStyle w:val="a9"/>
        <w:widowControl/>
        <w:numPr>
          <w:ilvl w:val="0"/>
          <w:numId w:val="2"/>
        </w:numPr>
        <w:spacing w:before="0" w:after="0"/>
        <w:ind w:left="0" w:firstLine="567"/>
        <w:jc w:val="both"/>
        <w:rPr>
          <w:rFonts w:ascii="Arial" w:hAnsi="Arial" w:cs="Arial"/>
          <w:b/>
          <w:i/>
        </w:rPr>
      </w:pPr>
      <w:r>
        <w:rPr>
          <w:rFonts w:ascii="Arial" w:hAnsi="Arial" w:cs="Arial"/>
          <w:b/>
          <w:i/>
        </w:rPr>
        <w:t xml:space="preserve">оценка адекватности и эффективности системы внутреннего контроля; </w:t>
      </w:r>
    </w:p>
    <w:p w:rsidR="00BF5D13" w:rsidRDefault="00BF5D13" w:rsidP="00391F22">
      <w:pPr>
        <w:pStyle w:val="a9"/>
        <w:widowControl/>
        <w:numPr>
          <w:ilvl w:val="0"/>
          <w:numId w:val="2"/>
        </w:numPr>
        <w:spacing w:before="0" w:after="0"/>
        <w:ind w:left="0" w:firstLine="567"/>
        <w:jc w:val="both"/>
        <w:rPr>
          <w:rFonts w:ascii="Arial" w:hAnsi="Arial" w:cs="Arial"/>
          <w:b/>
          <w:i/>
        </w:rPr>
      </w:pPr>
      <w:r>
        <w:rPr>
          <w:rFonts w:ascii="Arial" w:hAnsi="Arial" w:cs="Arial"/>
          <w:b/>
          <w:i/>
        </w:rPr>
        <w:t xml:space="preserve">оценка корпоративного управления; </w:t>
      </w:r>
    </w:p>
    <w:p w:rsidR="00BF5D13" w:rsidRDefault="00BF5D13" w:rsidP="00391F22">
      <w:pPr>
        <w:pStyle w:val="a9"/>
        <w:widowControl/>
        <w:numPr>
          <w:ilvl w:val="0"/>
          <w:numId w:val="2"/>
        </w:numPr>
        <w:spacing w:before="0" w:after="0"/>
        <w:ind w:left="0" w:firstLine="567"/>
        <w:jc w:val="both"/>
        <w:rPr>
          <w:rFonts w:ascii="Arial" w:hAnsi="Arial" w:cs="Arial"/>
          <w:b/>
          <w:i/>
        </w:rPr>
      </w:pPr>
      <w:r>
        <w:rPr>
          <w:rFonts w:ascii="Arial" w:hAnsi="Arial" w:cs="Arial"/>
          <w:b/>
          <w:i/>
        </w:rPr>
        <w:t>контроль за соблюдением установленных в Обществе процедур внутреннего контроля за финансово- хозяйственной деятельностью Общества.</w:t>
      </w:r>
    </w:p>
    <w:p w:rsidR="00BF5D13" w:rsidRDefault="00BF5D13" w:rsidP="00BF5D13">
      <w:pPr>
        <w:widowControl/>
        <w:spacing w:before="0" w:after="0"/>
        <w:ind w:firstLine="567"/>
        <w:jc w:val="both"/>
        <w:rPr>
          <w:rFonts w:ascii="Arial" w:hAnsi="Arial" w:cs="Arial"/>
        </w:rPr>
      </w:pPr>
    </w:p>
    <w:p w:rsidR="00BF5D13" w:rsidRDefault="00BF5D13" w:rsidP="00BF5D13">
      <w:pPr>
        <w:widowControl/>
        <w:spacing w:before="0" w:after="0"/>
        <w:ind w:firstLine="567"/>
        <w:jc w:val="both"/>
        <w:rPr>
          <w:rFonts w:ascii="Arial" w:hAnsi="Arial" w:cs="Arial"/>
        </w:rPr>
      </w:pPr>
      <w:r>
        <w:rPr>
          <w:rFonts w:ascii="Arial" w:hAnsi="Arial" w:cs="Arial"/>
          <w:b/>
          <w:i/>
        </w:rPr>
        <w:t>Система управления рисками регулярно анализируется Эмитентом с целью оперативного внесения необходимых корректировок в связи с изменениями рыночных условий.</w:t>
      </w:r>
    </w:p>
    <w:p w:rsidR="000647F2" w:rsidRDefault="000647F2" w:rsidP="000647F2">
      <w:pPr>
        <w:pStyle w:val="ConsPlusNormal"/>
        <w:ind w:firstLine="567"/>
        <w:jc w:val="both"/>
      </w:pPr>
    </w:p>
    <w:p w:rsidR="000647F2" w:rsidRPr="002E4F70" w:rsidRDefault="000647F2" w:rsidP="000647F2">
      <w:pPr>
        <w:pStyle w:val="ConsPlusNormal"/>
        <w:ind w:firstLine="540"/>
        <w:jc w:val="both"/>
        <w:outlineLvl w:val="2"/>
        <w:rPr>
          <w:b/>
          <w:sz w:val="26"/>
          <w:szCs w:val="26"/>
        </w:rPr>
      </w:pPr>
      <w:bookmarkStart w:id="22" w:name="Par197"/>
      <w:bookmarkStart w:id="23" w:name="_Toc448251128"/>
      <w:bookmarkEnd w:id="22"/>
      <w:r w:rsidRPr="002E4F70">
        <w:rPr>
          <w:b/>
          <w:sz w:val="26"/>
          <w:szCs w:val="26"/>
        </w:rPr>
        <w:t>2.5.1. Отраслевые риски</w:t>
      </w:r>
      <w:bookmarkEnd w:id="23"/>
    </w:p>
    <w:p w:rsidR="000647F2" w:rsidRDefault="000647F2" w:rsidP="000647F2">
      <w:pPr>
        <w:pStyle w:val="ConsPlusNormal"/>
        <w:ind w:firstLine="540"/>
        <w:jc w:val="both"/>
        <w:rPr>
          <w:rFonts w:ascii="Times New Roman" w:hAnsi="Times New Roman" w:cs="Times New Roman"/>
        </w:rPr>
      </w:pPr>
    </w:p>
    <w:p w:rsidR="000647F2" w:rsidRDefault="000647F2" w:rsidP="000647F2">
      <w:pPr>
        <w:pStyle w:val="ConsPlusNormal"/>
        <w:ind w:firstLine="540"/>
        <w:jc w:val="both"/>
        <w:rPr>
          <w:rFonts w:ascii="Times New Roman" w:hAnsi="Times New Roman" w:cs="Times New Roman"/>
        </w:rPr>
      </w:pPr>
      <w:r>
        <w:rPr>
          <w:rFonts w:ascii="Times New Roman" w:hAnsi="Times New Roman" w:cs="Times New Roman"/>
        </w:rPr>
        <w:t>Описывается влияние возможного ухудшения ситуации в отрасли эмитента на его деятельность и исполнение им обязательств по ценным бумагам. Приводятся наиболее значимые, по мнению эмитента, возможные изменения в отрасли (отдельно на внутреннем и внешнем рынках), а также предполагаемые действия эмитента в этом случае.</w:t>
      </w:r>
    </w:p>
    <w:p w:rsidR="000647F2" w:rsidRDefault="000647F2" w:rsidP="000647F2">
      <w:pPr>
        <w:pStyle w:val="ConsPlusNormal"/>
        <w:ind w:firstLine="540"/>
        <w:jc w:val="both"/>
        <w:rPr>
          <w:rFonts w:ascii="Times New Roman" w:hAnsi="Times New Roman" w:cs="Times New Roman"/>
        </w:rPr>
      </w:pPr>
    </w:p>
    <w:p w:rsidR="000647F2" w:rsidRDefault="000647F2" w:rsidP="000647F2">
      <w:pPr>
        <w:widowControl/>
        <w:spacing w:before="0" w:after="0"/>
        <w:ind w:left="108" w:firstLine="708"/>
        <w:jc w:val="both"/>
        <w:rPr>
          <w:rFonts w:ascii="Arial" w:hAnsi="Arial" w:cs="Arial"/>
          <w:bCs/>
          <w:iCs/>
          <w:u w:val="single" w:color="000000"/>
        </w:rPr>
      </w:pPr>
      <w:r>
        <w:rPr>
          <w:rFonts w:ascii="Arial" w:hAnsi="Arial" w:cs="Arial"/>
          <w:bCs/>
          <w:iCs/>
          <w:u w:val="single" w:color="000000"/>
        </w:rPr>
        <w:t xml:space="preserve">На внутреннем рынке: </w:t>
      </w:r>
    </w:p>
    <w:p w:rsidR="000647F2" w:rsidRDefault="000647F2" w:rsidP="000647F2">
      <w:pPr>
        <w:widowControl/>
        <w:spacing w:before="0" w:after="0"/>
        <w:ind w:firstLine="567"/>
        <w:jc w:val="both"/>
        <w:rPr>
          <w:rFonts w:ascii="Arial" w:hAnsi="Arial" w:cs="Arial"/>
          <w:b/>
          <w:i/>
        </w:rPr>
      </w:pPr>
    </w:p>
    <w:p w:rsidR="00CE60A7" w:rsidRDefault="00CE60A7" w:rsidP="00CE60A7">
      <w:pPr>
        <w:widowControl/>
        <w:spacing w:before="0" w:after="0"/>
        <w:ind w:firstLine="567"/>
        <w:jc w:val="both"/>
        <w:rPr>
          <w:rFonts w:ascii="Arial" w:hAnsi="Arial" w:cs="Arial"/>
          <w:b/>
          <w:i/>
        </w:rPr>
      </w:pPr>
      <w:r>
        <w:rPr>
          <w:rFonts w:ascii="Arial" w:hAnsi="Arial" w:cs="Arial"/>
          <w:b/>
          <w:i/>
        </w:rPr>
        <w:t xml:space="preserve">Основная деятельность Эмитента - осуществление функции Заказчика-Застройщика по реализации инвестиционно-строительных проектов в Санкт-Петербурге, прежде всего в сфере массового жилищного строительства. </w:t>
      </w:r>
    </w:p>
    <w:p w:rsidR="00CE60A7" w:rsidRDefault="00CE60A7" w:rsidP="00CE60A7">
      <w:pPr>
        <w:widowControl/>
        <w:spacing w:before="0" w:after="0"/>
        <w:ind w:firstLine="567"/>
        <w:jc w:val="both"/>
        <w:rPr>
          <w:rFonts w:ascii="Arial" w:hAnsi="Arial" w:cs="Arial"/>
          <w:b/>
          <w:i/>
        </w:rPr>
      </w:pPr>
      <w:r>
        <w:rPr>
          <w:rFonts w:ascii="Arial" w:hAnsi="Arial" w:cs="Arial"/>
          <w:b/>
          <w:i/>
        </w:rPr>
        <w:t>Индикаторами существенного ухудшения ситуации в сфере массового жилищного строительства может являться рост числа проблемных объектов долевого строительства при реализации рисков, связанных с</w:t>
      </w:r>
      <w:r w:rsidR="002C5423">
        <w:rPr>
          <w:rFonts w:ascii="Arial" w:hAnsi="Arial" w:cs="Arial"/>
          <w:b/>
          <w:i/>
        </w:rPr>
        <w:t>:</w:t>
      </w:r>
      <w:r>
        <w:rPr>
          <w:rFonts w:ascii="Arial" w:hAnsi="Arial" w:cs="Arial"/>
          <w:b/>
          <w:i/>
        </w:rPr>
        <w:t xml:space="preserve"> </w:t>
      </w:r>
    </w:p>
    <w:p w:rsidR="00CE60A7" w:rsidRDefault="00CE60A7" w:rsidP="002C5423">
      <w:pPr>
        <w:pStyle w:val="a9"/>
        <w:widowControl/>
        <w:numPr>
          <w:ilvl w:val="0"/>
          <w:numId w:val="2"/>
        </w:numPr>
        <w:spacing w:before="0" w:after="0"/>
        <w:ind w:left="0" w:firstLine="567"/>
        <w:jc w:val="both"/>
        <w:rPr>
          <w:rFonts w:ascii="Arial" w:hAnsi="Arial" w:cs="Arial"/>
          <w:b/>
          <w:i/>
        </w:rPr>
      </w:pPr>
      <w:r>
        <w:rPr>
          <w:rFonts w:ascii="Arial" w:hAnsi="Arial" w:cs="Arial"/>
          <w:b/>
          <w:i/>
        </w:rPr>
        <w:t>падением спроса (в силу снижения реального располагаемого дохода населения и/или существенного роста ставок по ипотеке);</w:t>
      </w:r>
    </w:p>
    <w:p w:rsidR="00CE60A7" w:rsidRDefault="00CE60A7" w:rsidP="002C5423">
      <w:pPr>
        <w:pStyle w:val="ConsPlusNormal"/>
        <w:numPr>
          <w:ilvl w:val="0"/>
          <w:numId w:val="2"/>
        </w:numPr>
        <w:ind w:left="0" w:firstLine="567"/>
        <w:jc w:val="both"/>
        <w:rPr>
          <w:b/>
          <w:i/>
        </w:rPr>
      </w:pPr>
      <w:r>
        <w:rPr>
          <w:b/>
          <w:i/>
        </w:rPr>
        <w:t xml:space="preserve">ростом процентных ставок и/или ограничением доступа застройщика к банковским кредитам при условии необходимости соблюдения законодательных ограничений в соответствии с Федеральным законом от 30.12.2004 </w:t>
      </w:r>
      <w:r w:rsidR="002C5423">
        <w:rPr>
          <w:b/>
          <w:i/>
        </w:rPr>
        <w:t>№ 214-ФЗ «</w:t>
      </w:r>
      <w:r w:rsidR="002C5423" w:rsidRPr="002C5423">
        <w:rPr>
          <w:b/>
          <w:bCs/>
          <w:i/>
          <w:iCs/>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2C5423">
        <w:rPr>
          <w:b/>
          <w:i/>
        </w:rPr>
        <w:t>»</w:t>
      </w:r>
      <w:r w:rsidR="00D41022">
        <w:rPr>
          <w:b/>
          <w:i/>
        </w:rPr>
        <w:t xml:space="preserve"> (далее – «Закон об участии в долевом строительстве </w:t>
      </w:r>
      <w:r w:rsidR="00D41022" w:rsidRPr="002C5423">
        <w:rPr>
          <w:b/>
          <w:bCs/>
          <w:i/>
          <w:iCs/>
        </w:rPr>
        <w:t>многоквартирных домов и иных объектов недвижимости</w:t>
      </w:r>
      <w:r w:rsidR="00D41022">
        <w:rPr>
          <w:b/>
          <w:i/>
        </w:rPr>
        <w:t>»)</w:t>
      </w:r>
      <w:r>
        <w:rPr>
          <w:b/>
          <w:i/>
        </w:rPr>
        <w:t>.</w:t>
      </w:r>
    </w:p>
    <w:p w:rsidR="007A47A2" w:rsidRDefault="007A47A2" w:rsidP="000647F2">
      <w:pPr>
        <w:widowControl/>
        <w:spacing w:before="0" w:after="0"/>
        <w:ind w:left="108" w:firstLine="708"/>
        <w:jc w:val="both"/>
        <w:rPr>
          <w:rFonts w:ascii="Arial" w:hAnsi="Arial" w:cs="Arial"/>
          <w:bCs/>
          <w:iCs/>
          <w:u w:val="single" w:color="000000"/>
        </w:rPr>
      </w:pPr>
    </w:p>
    <w:p w:rsidR="000647F2" w:rsidRDefault="000647F2" w:rsidP="000647F2">
      <w:pPr>
        <w:widowControl/>
        <w:spacing w:before="0" w:after="0"/>
        <w:ind w:left="108" w:firstLine="708"/>
        <w:jc w:val="both"/>
        <w:rPr>
          <w:rFonts w:ascii="Arial" w:hAnsi="Arial" w:cs="Arial"/>
          <w:bCs/>
          <w:iCs/>
          <w:u w:val="single" w:color="000000"/>
        </w:rPr>
      </w:pPr>
      <w:r>
        <w:rPr>
          <w:rFonts w:ascii="Arial" w:hAnsi="Arial" w:cs="Arial"/>
          <w:bCs/>
          <w:iCs/>
          <w:u w:val="single" w:color="000000"/>
        </w:rPr>
        <w:t>На внешнем рынке:</w:t>
      </w:r>
    </w:p>
    <w:p w:rsidR="007A47A2" w:rsidRDefault="007A47A2" w:rsidP="000647F2">
      <w:pPr>
        <w:widowControl/>
        <w:spacing w:before="0" w:after="0"/>
        <w:ind w:firstLine="567"/>
        <w:jc w:val="both"/>
        <w:rPr>
          <w:rFonts w:ascii="Arial" w:hAnsi="Arial" w:cs="Arial"/>
          <w:b/>
          <w:i/>
        </w:rPr>
      </w:pPr>
    </w:p>
    <w:p w:rsidR="000647F2" w:rsidRDefault="000647F2" w:rsidP="000647F2">
      <w:pPr>
        <w:widowControl/>
        <w:spacing w:before="0" w:after="0"/>
        <w:ind w:firstLine="567"/>
        <w:jc w:val="both"/>
        <w:rPr>
          <w:rFonts w:ascii="Arial" w:hAnsi="Arial" w:cs="Arial"/>
          <w:b/>
          <w:i/>
        </w:rPr>
      </w:pPr>
      <w:r>
        <w:rPr>
          <w:rFonts w:ascii="Arial" w:hAnsi="Arial" w:cs="Arial"/>
          <w:b/>
          <w:i/>
        </w:rPr>
        <w:t>Эмитент не осуществляет в настоящее время и не планирует в будущем осуществлять какую-либо хозяйственную деятельность на внешнем рынке, в связи с чем, изменения в отрасли на внешних рынках, по мнению Эмитента, не окажут влияния на деятельность и финансовое положение Эмитента и его способность исполнять свои обязательства по ценным бумагам.</w:t>
      </w:r>
    </w:p>
    <w:p w:rsidR="000647F2" w:rsidRDefault="000647F2" w:rsidP="000647F2">
      <w:pPr>
        <w:pStyle w:val="ConsPlusNormal"/>
        <w:ind w:firstLine="540"/>
        <w:jc w:val="both"/>
        <w:rPr>
          <w:rFonts w:ascii="Times New Roman" w:hAnsi="Times New Roman" w:cs="Times New Roman"/>
        </w:rPr>
      </w:pPr>
    </w:p>
    <w:p w:rsidR="000647F2" w:rsidRDefault="000647F2" w:rsidP="000647F2">
      <w:pPr>
        <w:pStyle w:val="ConsPlusNormal"/>
        <w:ind w:firstLine="540"/>
        <w:jc w:val="both"/>
        <w:rPr>
          <w:rFonts w:ascii="Times New Roman" w:hAnsi="Times New Roman" w:cs="Times New Roman"/>
        </w:rPr>
      </w:pPr>
      <w:r>
        <w:rPr>
          <w:rFonts w:ascii="Times New Roman" w:hAnsi="Times New Roman" w:cs="Times New Roman"/>
        </w:rPr>
        <w:t>Предполагаемые действия эмитента на возможные изменения в отрасли</w:t>
      </w:r>
    </w:p>
    <w:p w:rsidR="007A47A2" w:rsidRDefault="007A47A2" w:rsidP="00CE60A7">
      <w:pPr>
        <w:widowControl/>
        <w:spacing w:before="0" w:after="0"/>
        <w:ind w:firstLine="567"/>
        <w:jc w:val="both"/>
        <w:rPr>
          <w:rFonts w:ascii="Arial" w:hAnsi="Arial" w:cs="Arial"/>
          <w:b/>
          <w:i/>
        </w:rPr>
      </w:pPr>
    </w:p>
    <w:p w:rsidR="00CE60A7" w:rsidRDefault="00CE60A7" w:rsidP="00CE60A7">
      <w:pPr>
        <w:widowControl/>
        <w:spacing w:before="0" w:after="0"/>
        <w:ind w:firstLine="567"/>
        <w:jc w:val="both"/>
        <w:rPr>
          <w:rFonts w:ascii="Arial" w:hAnsi="Arial" w:cs="Arial"/>
          <w:b/>
          <w:i/>
        </w:rPr>
      </w:pPr>
      <w:r>
        <w:rPr>
          <w:rFonts w:ascii="Arial" w:hAnsi="Arial" w:cs="Arial"/>
          <w:b/>
          <w:i/>
        </w:rPr>
        <w:t>По мнению Эмитента, указанные возможные негативные изменения в отрасли способны в определенной степени повлиять на деятельность Эмитента, однако данные изменения не окажут существенного влияния на исполнение Эмитентом обязательств по ценным бумагам. В случае негативного изменения ситуации в отрасли Эмитент предполагает возможными следующие действия:</w:t>
      </w:r>
    </w:p>
    <w:p w:rsidR="00CE60A7" w:rsidRDefault="00CE60A7" w:rsidP="00F9631E">
      <w:pPr>
        <w:pStyle w:val="a9"/>
        <w:widowControl/>
        <w:numPr>
          <w:ilvl w:val="0"/>
          <w:numId w:val="2"/>
        </w:numPr>
        <w:spacing w:before="0" w:after="0"/>
        <w:ind w:left="0" w:firstLine="567"/>
        <w:jc w:val="both"/>
        <w:rPr>
          <w:rFonts w:ascii="Arial" w:hAnsi="Arial" w:cs="Arial"/>
          <w:b/>
          <w:i/>
        </w:rPr>
      </w:pPr>
      <w:r>
        <w:rPr>
          <w:rFonts w:ascii="Arial" w:hAnsi="Arial" w:cs="Arial"/>
          <w:b/>
          <w:i/>
        </w:rPr>
        <w:t>В случае падения спроса на строящееся жилье Эмитент допускает возможность осуществлять продажи исключительно готового жилья, запас которого по состоянию на дату утверждения Проспекта ценных бумаг, по мнению Эмитента, находится на достаточном уровне.</w:t>
      </w:r>
    </w:p>
    <w:p w:rsidR="00CE60A7" w:rsidRDefault="00CE60A7" w:rsidP="00F9631E">
      <w:pPr>
        <w:pStyle w:val="a9"/>
        <w:widowControl/>
        <w:numPr>
          <w:ilvl w:val="0"/>
          <w:numId w:val="2"/>
        </w:numPr>
        <w:spacing w:before="0" w:after="0"/>
        <w:ind w:left="0" w:firstLine="567"/>
        <w:jc w:val="both"/>
        <w:rPr>
          <w:rFonts w:ascii="Arial" w:hAnsi="Arial" w:cs="Arial"/>
          <w:b/>
          <w:i/>
        </w:rPr>
      </w:pPr>
      <w:r>
        <w:rPr>
          <w:rFonts w:ascii="Arial" w:hAnsi="Arial" w:cs="Arial"/>
          <w:b/>
          <w:i/>
        </w:rPr>
        <w:t>Принимая во внимание тот факт, что некоторые проекты Эмитента являются проектами комплексного освоения территорий и характеризуются значительными масштабами, Эмитент может самостоятельно регулировать объемы и темпы строительства в зависимости от реального спроса на недвижимость в соответствующем районе города. Таким образом, в случае снижения спроса Эмитент может соразмерно снизить темпы строительства определенных объектов.</w:t>
      </w:r>
    </w:p>
    <w:p w:rsidR="00CE60A7" w:rsidRPr="00FE2534" w:rsidRDefault="00CE60A7" w:rsidP="00F9631E">
      <w:pPr>
        <w:pStyle w:val="a9"/>
        <w:widowControl/>
        <w:numPr>
          <w:ilvl w:val="0"/>
          <w:numId w:val="2"/>
        </w:numPr>
        <w:spacing w:before="0" w:after="0"/>
        <w:ind w:left="0" w:firstLine="567"/>
        <w:jc w:val="both"/>
        <w:rPr>
          <w:rFonts w:ascii="Arial" w:hAnsi="Arial" w:cs="Arial"/>
          <w:b/>
          <w:i/>
        </w:rPr>
      </w:pPr>
      <w:r>
        <w:rPr>
          <w:rFonts w:ascii="Arial" w:hAnsi="Arial" w:cs="Arial"/>
          <w:b/>
          <w:i/>
        </w:rPr>
        <w:t xml:space="preserve">В случае уменьшения количества ипотечных продуктов и/или значительного роста ставок по ипотеке и/или снижению доступности ипотеки для физических лиц, Эмитент предполагает разработать альтернативные банковскому кредиту предложения для своих покупателей по размеру первоначального взноса и/или по программе рассрочек при приобретения жилой недвижимости. Следует отметить, что Эмитент имеет опыт предоставления длительных рассрочек для покупателей недвижимости. </w:t>
      </w:r>
      <w:r w:rsidRPr="00FE2534">
        <w:rPr>
          <w:rFonts w:ascii="Arial" w:hAnsi="Arial" w:cs="Arial"/>
          <w:b/>
          <w:i/>
        </w:rPr>
        <w:t>Так, с 2013 г</w:t>
      </w:r>
      <w:r w:rsidR="00C85537">
        <w:rPr>
          <w:rFonts w:ascii="Arial" w:hAnsi="Arial" w:cs="Arial"/>
          <w:b/>
          <w:i/>
        </w:rPr>
        <w:t>ода</w:t>
      </w:r>
      <w:r w:rsidRPr="00FE2534">
        <w:rPr>
          <w:rFonts w:ascii="Arial" w:hAnsi="Arial" w:cs="Arial"/>
          <w:b/>
          <w:i/>
        </w:rPr>
        <w:t xml:space="preserve"> Эмитент предоставляет рассрочку до 10 лет на приобретение квартир в отдельных объектах жилищного строительства.</w:t>
      </w:r>
    </w:p>
    <w:p w:rsidR="00CE60A7" w:rsidRDefault="00CE60A7" w:rsidP="00F9631E">
      <w:pPr>
        <w:pStyle w:val="a9"/>
        <w:widowControl/>
        <w:numPr>
          <w:ilvl w:val="0"/>
          <w:numId w:val="2"/>
        </w:numPr>
        <w:spacing w:before="0" w:after="0"/>
        <w:ind w:left="0" w:firstLine="567"/>
        <w:jc w:val="both"/>
        <w:rPr>
          <w:rFonts w:ascii="Arial" w:hAnsi="Arial" w:cs="Arial"/>
          <w:b/>
          <w:i/>
        </w:rPr>
      </w:pPr>
      <w:r>
        <w:rPr>
          <w:rFonts w:ascii="Arial" w:hAnsi="Arial" w:cs="Arial"/>
          <w:b/>
          <w:i/>
        </w:rPr>
        <w:t xml:space="preserve">Для снижения риска возникновения ограничений доступа застройщиков к банковским кредитам при необходимости соблюдения положений </w:t>
      </w:r>
      <w:r w:rsidR="00B6079A" w:rsidRPr="00B6079A">
        <w:rPr>
          <w:rFonts w:ascii="Arial" w:hAnsi="Arial" w:cs="Arial"/>
          <w:b/>
          <w:i/>
        </w:rPr>
        <w:t>Закона об участии в долевом строительстве многоквартирных домов и иных объектов недвижимости</w:t>
      </w:r>
      <w:r w:rsidR="00B6079A">
        <w:rPr>
          <w:rFonts w:ascii="Arial" w:hAnsi="Arial" w:cs="Arial"/>
          <w:b/>
          <w:i/>
        </w:rPr>
        <w:t xml:space="preserve"> </w:t>
      </w:r>
      <w:r>
        <w:rPr>
          <w:rFonts w:ascii="Arial" w:hAnsi="Arial" w:cs="Arial"/>
          <w:b/>
          <w:i/>
        </w:rPr>
        <w:t xml:space="preserve">Эмитент стремится нарастить в пассивах долю источников финансирования, не ограниченных условиями по их целевому использованию. </w:t>
      </w:r>
      <w:r w:rsidR="00146CA2">
        <w:rPr>
          <w:rFonts w:ascii="Arial" w:hAnsi="Arial" w:cs="Arial"/>
          <w:b/>
          <w:i/>
        </w:rPr>
        <w:t xml:space="preserve">На дату утверждения настоящего Проспекта ценных бумаг </w:t>
      </w:r>
      <w:r>
        <w:rPr>
          <w:rFonts w:ascii="Arial" w:hAnsi="Arial" w:cs="Arial"/>
          <w:b/>
          <w:i/>
        </w:rPr>
        <w:t xml:space="preserve">Эмитент обладает существенным лимитом невыбранных денежных средств в рамках действующих договоров финансирования, не ограниченных по целевому использованию. </w:t>
      </w:r>
    </w:p>
    <w:p w:rsidR="000647F2" w:rsidRDefault="000647F2" w:rsidP="000647F2">
      <w:pPr>
        <w:pStyle w:val="ConsPlusNormal"/>
        <w:ind w:firstLine="540"/>
        <w:jc w:val="both"/>
        <w:rPr>
          <w:rFonts w:ascii="Times New Roman" w:hAnsi="Times New Roman" w:cs="Times New Roman"/>
        </w:rPr>
      </w:pPr>
    </w:p>
    <w:p w:rsidR="000647F2" w:rsidRDefault="000647F2" w:rsidP="000647F2">
      <w:pPr>
        <w:pStyle w:val="ConsPlusNormal"/>
        <w:ind w:firstLine="540"/>
        <w:jc w:val="both"/>
        <w:rPr>
          <w:rFonts w:ascii="Times New Roman" w:hAnsi="Times New Roman" w:cs="Times New Roman"/>
        </w:rPr>
      </w:pPr>
      <w:r>
        <w:rPr>
          <w:rFonts w:ascii="Times New Roman" w:hAnsi="Times New Roman" w:cs="Times New Roman"/>
        </w:rPr>
        <w:t>Отдельно описываются риски, связанные с возможным изменением цен на сырье, услуги, используемые эмитентом в своей деятельности (отдельно на внутреннем и внешнем рынках), и их влияние на деятельность эмитента и исполнение им обязательств по ценным бумагам.</w:t>
      </w:r>
    </w:p>
    <w:p w:rsidR="000647F2" w:rsidRDefault="000647F2" w:rsidP="000647F2">
      <w:pPr>
        <w:widowControl/>
        <w:spacing w:before="0" w:after="0"/>
        <w:ind w:left="108" w:firstLine="708"/>
        <w:jc w:val="both"/>
        <w:rPr>
          <w:bCs/>
          <w:iCs/>
          <w:sz w:val="22"/>
          <w:szCs w:val="22"/>
          <w:u w:val="single" w:color="000000"/>
        </w:rPr>
      </w:pPr>
    </w:p>
    <w:p w:rsidR="000647F2" w:rsidRDefault="000647F2" w:rsidP="000647F2">
      <w:pPr>
        <w:widowControl/>
        <w:spacing w:before="0" w:after="0"/>
        <w:ind w:left="108" w:firstLine="708"/>
        <w:jc w:val="both"/>
        <w:rPr>
          <w:rFonts w:ascii="Arial" w:hAnsi="Arial" w:cs="Arial"/>
          <w:bCs/>
          <w:iCs/>
          <w:u w:val="single" w:color="000000"/>
        </w:rPr>
      </w:pPr>
      <w:r>
        <w:rPr>
          <w:rFonts w:ascii="Arial" w:hAnsi="Arial" w:cs="Arial"/>
          <w:bCs/>
          <w:iCs/>
          <w:u w:val="single" w:color="000000"/>
        </w:rPr>
        <w:t>На внутреннем рынке:</w:t>
      </w:r>
    </w:p>
    <w:p w:rsidR="000647F2" w:rsidRDefault="000647F2" w:rsidP="000647F2">
      <w:pPr>
        <w:widowControl/>
        <w:spacing w:before="0" w:after="0"/>
        <w:ind w:firstLine="567"/>
        <w:jc w:val="both"/>
        <w:rPr>
          <w:rFonts w:ascii="Arial" w:hAnsi="Arial" w:cs="Arial"/>
          <w:b/>
          <w:i/>
        </w:rPr>
      </w:pPr>
    </w:p>
    <w:p w:rsidR="00D8273E" w:rsidRDefault="00D8273E" w:rsidP="00D8273E">
      <w:pPr>
        <w:widowControl/>
        <w:spacing w:before="0" w:after="0"/>
        <w:ind w:firstLine="567"/>
        <w:jc w:val="both"/>
        <w:rPr>
          <w:rFonts w:ascii="Arial" w:hAnsi="Arial" w:cs="Arial"/>
          <w:b/>
          <w:i/>
        </w:rPr>
      </w:pPr>
      <w:r>
        <w:rPr>
          <w:rFonts w:ascii="Arial" w:hAnsi="Arial" w:cs="Arial"/>
          <w:b/>
          <w:i/>
        </w:rPr>
        <w:t>Риски, связанные с изменением цен на сырье и услуги, используемые Эмитентом в своей деятельности, в основном могут являться следствием рисков изменения курса валюты в части импортных материалов и инфляцией в части отечественных материалов и услуг.</w:t>
      </w:r>
    </w:p>
    <w:p w:rsidR="00D8273E" w:rsidRDefault="00D8273E" w:rsidP="00D8273E">
      <w:pPr>
        <w:widowControl/>
        <w:spacing w:before="0" w:after="0"/>
        <w:ind w:firstLine="567"/>
        <w:jc w:val="both"/>
        <w:rPr>
          <w:rFonts w:ascii="Arial" w:hAnsi="Arial" w:cs="Arial"/>
          <w:b/>
          <w:i/>
        </w:rPr>
      </w:pPr>
      <w:r>
        <w:rPr>
          <w:rFonts w:ascii="Arial" w:hAnsi="Arial" w:cs="Arial"/>
          <w:b/>
          <w:i/>
        </w:rPr>
        <w:t>Рост цен на сырье и услуги, используемые Эмитентом в своей деятельности, вызовет необходимость отвлечения большего объема средств в рублях РФ, что также может оказать влияние на себестоимость и чистую прибыль Эмитента.</w:t>
      </w:r>
    </w:p>
    <w:p w:rsidR="00D8273E" w:rsidRDefault="00D8273E" w:rsidP="00D8273E">
      <w:pPr>
        <w:widowControl/>
        <w:spacing w:before="0" w:after="0"/>
        <w:ind w:firstLine="567"/>
        <w:jc w:val="both"/>
        <w:rPr>
          <w:rFonts w:ascii="Arial" w:hAnsi="Arial" w:cs="Arial"/>
          <w:b/>
          <w:i/>
        </w:rPr>
      </w:pPr>
      <w:r>
        <w:rPr>
          <w:rFonts w:ascii="Arial" w:hAnsi="Arial" w:cs="Arial"/>
          <w:b/>
          <w:i/>
        </w:rPr>
        <w:t>По мнению Эмитента, указанные риски не окажут существенного влияния на исполнение Эмитентом обязательств по ценным бумагам, а также, в существенной степени, на его деятельность. Эмитент обладает в том числе следующими элементами контроля за формированием себестоимости продукции:</w:t>
      </w:r>
    </w:p>
    <w:p w:rsidR="00D8273E" w:rsidRDefault="00D8273E" w:rsidP="00C85537">
      <w:pPr>
        <w:pStyle w:val="a9"/>
        <w:widowControl/>
        <w:numPr>
          <w:ilvl w:val="0"/>
          <w:numId w:val="2"/>
        </w:numPr>
        <w:spacing w:before="0" w:after="0"/>
        <w:ind w:left="0" w:firstLine="567"/>
        <w:jc w:val="both"/>
        <w:rPr>
          <w:rFonts w:ascii="Arial" w:hAnsi="Arial" w:cs="Arial"/>
          <w:b/>
          <w:i/>
        </w:rPr>
      </w:pPr>
      <w:r>
        <w:rPr>
          <w:rFonts w:ascii="Arial" w:hAnsi="Arial" w:cs="Arial"/>
          <w:b/>
          <w:i/>
        </w:rPr>
        <w:t>Эмитент и его группа лиц составляют вертикально-интегрированную бизнес-модель (далее также Группа компаний «ЛенСпецСМУ»), элементами которой являются компании, обеспечивающие Эмитента всеми существенными для производства продукции ресурсами и услугами;</w:t>
      </w:r>
    </w:p>
    <w:p w:rsidR="00D8273E" w:rsidRDefault="00D8273E" w:rsidP="00C85537">
      <w:pPr>
        <w:pStyle w:val="a9"/>
        <w:widowControl/>
        <w:numPr>
          <w:ilvl w:val="0"/>
          <w:numId w:val="2"/>
        </w:numPr>
        <w:spacing w:before="0" w:after="0"/>
        <w:ind w:left="0" w:firstLine="567"/>
        <w:jc w:val="both"/>
        <w:rPr>
          <w:rFonts w:ascii="Arial" w:hAnsi="Arial" w:cs="Arial"/>
          <w:b/>
          <w:i/>
        </w:rPr>
      </w:pPr>
      <w:r>
        <w:rPr>
          <w:rFonts w:ascii="Arial" w:hAnsi="Arial" w:cs="Arial"/>
          <w:b/>
          <w:i/>
        </w:rPr>
        <w:t>Политика Эмитента в отношении приобретения сырья и материалов регламентируется процедурой тендеров, что позволяет Эмитенту выбирать поставщиков, предлагающих наиболее выгодные условия поставок, экономить на удельной стоимости в результате больших объёмов закупок и заключать контракты на условиях, соответствующих, бизнес-модели Эмитента.</w:t>
      </w:r>
    </w:p>
    <w:p w:rsidR="000647F2" w:rsidRDefault="000647F2" w:rsidP="000647F2">
      <w:pPr>
        <w:widowControl/>
        <w:spacing w:before="0" w:after="0"/>
        <w:ind w:left="108" w:firstLine="708"/>
        <w:jc w:val="both"/>
        <w:rPr>
          <w:rFonts w:ascii="Arial" w:hAnsi="Arial" w:cs="Arial"/>
          <w:bCs/>
          <w:iCs/>
          <w:u w:val="single" w:color="000000"/>
        </w:rPr>
      </w:pPr>
    </w:p>
    <w:p w:rsidR="000647F2" w:rsidRDefault="000647F2" w:rsidP="000647F2">
      <w:pPr>
        <w:widowControl/>
        <w:spacing w:before="0" w:after="0"/>
        <w:ind w:left="108" w:firstLine="708"/>
        <w:jc w:val="both"/>
        <w:rPr>
          <w:rFonts w:ascii="Arial" w:hAnsi="Arial" w:cs="Arial"/>
          <w:bCs/>
          <w:iCs/>
          <w:u w:val="single" w:color="000000"/>
        </w:rPr>
      </w:pPr>
      <w:r>
        <w:rPr>
          <w:rFonts w:ascii="Arial" w:hAnsi="Arial" w:cs="Arial"/>
          <w:bCs/>
          <w:iCs/>
          <w:u w:val="single" w:color="000000"/>
        </w:rPr>
        <w:t>На внешнем рынке:</w:t>
      </w:r>
    </w:p>
    <w:p w:rsidR="000647F2" w:rsidRDefault="000647F2" w:rsidP="000647F2">
      <w:pPr>
        <w:widowControl/>
        <w:spacing w:before="0" w:after="0"/>
        <w:ind w:left="108" w:firstLine="708"/>
        <w:jc w:val="both"/>
        <w:rPr>
          <w:b/>
          <w:bCs/>
          <w:i/>
          <w:iCs/>
          <w:sz w:val="22"/>
          <w:szCs w:val="22"/>
        </w:rPr>
      </w:pPr>
    </w:p>
    <w:p w:rsidR="000647F2" w:rsidRDefault="000647F2" w:rsidP="000647F2">
      <w:pPr>
        <w:widowControl/>
        <w:spacing w:before="0" w:after="0"/>
        <w:ind w:firstLine="567"/>
        <w:jc w:val="both"/>
        <w:rPr>
          <w:rFonts w:ascii="Arial" w:hAnsi="Arial" w:cs="Arial"/>
          <w:b/>
          <w:i/>
        </w:rPr>
      </w:pPr>
      <w:r>
        <w:rPr>
          <w:rFonts w:ascii="Arial" w:hAnsi="Arial" w:cs="Arial"/>
          <w:b/>
          <w:i/>
        </w:rPr>
        <w:t>Эмитент считает указанные риски минимальными, так как осуществляет основную деятельность на рынке недвижимости Санкт-Петербурга.</w:t>
      </w:r>
    </w:p>
    <w:p w:rsidR="000647F2" w:rsidRDefault="000647F2" w:rsidP="000647F2">
      <w:pPr>
        <w:pStyle w:val="ConsPlusNormal"/>
        <w:ind w:firstLine="540"/>
        <w:jc w:val="both"/>
        <w:rPr>
          <w:rFonts w:ascii="Times New Roman" w:hAnsi="Times New Roman" w:cs="Times New Roman"/>
        </w:rPr>
      </w:pPr>
    </w:p>
    <w:p w:rsidR="000647F2" w:rsidRDefault="000647F2" w:rsidP="000647F2">
      <w:pPr>
        <w:pStyle w:val="ConsPlusNormal"/>
        <w:ind w:firstLine="540"/>
        <w:jc w:val="both"/>
        <w:rPr>
          <w:rFonts w:ascii="Times New Roman" w:hAnsi="Times New Roman" w:cs="Times New Roman"/>
        </w:rPr>
      </w:pPr>
      <w:r>
        <w:rPr>
          <w:rFonts w:ascii="Times New Roman" w:hAnsi="Times New Roman" w:cs="Times New Roman"/>
        </w:rPr>
        <w:t>Отдельно описываются риски, связанные с возможным изменением цен на продукцию и (или) услуги эмитента (отдельно на внутреннем и внешнем рынках), и их влияние на деятельность эмитента и исполнение им обязательств по ценным бумагам.</w:t>
      </w:r>
    </w:p>
    <w:p w:rsidR="000647F2" w:rsidRDefault="000647F2" w:rsidP="000647F2">
      <w:pPr>
        <w:pStyle w:val="ConsPlusNormal"/>
        <w:jc w:val="both"/>
        <w:rPr>
          <w:rFonts w:ascii="Times New Roman" w:hAnsi="Times New Roman" w:cs="Times New Roman"/>
        </w:rPr>
      </w:pPr>
    </w:p>
    <w:p w:rsidR="000647F2" w:rsidRDefault="000647F2" w:rsidP="000647F2">
      <w:pPr>
        <w:widowControl/>
        <w:spacing w:before="0" w:after="0"/>
        <w:ind w:left="108" w:firstLine="708"/>
        <w:jc w:val="both"/>
        <w:rPr>
          <w:rFonts w:ascii="Arial" w:hAnsi="Arial" w:cs="Arial"/>
          <w:bCs/>
          <w:iCs/>
          <w:u w:val="single" w:color="000000"/>
        </w:rPr>
      </w:pPr>
      <w:r>
        <w:rPr>
          <w:rFonts w:ascii="Arial" w:hAnsi="Arial" w:cs="Arial"/>
          <w:bCs/>
          <w:iCs/>
          <w:u w:val="single" w:color="000000"/>
        </w:rPr>
        <w:t>На внутреннем рынке:</w:t>
      </w:r>
    </w:p>
    <w:p w:rsidR="000647F2" w:rsidRDefault="000647F2" w:rsidP="000647F2">
      <w:pPr>
        <w:widowControl/>
        <w:spacing w:before="0" w:after="0"/>
        <w:ind w:firstLine="567"/>
        <w:jc w:val="both"/>
        <w:rPr>
          <w:rFonts w:ascii="Arial" w:hAnsi="Arial" w:cs="Arial"/>
          <w:b/>
          <w:i/>
        </w:rPr>
      </w:pPr>
    </w:p>
    <w:p w:rsidR="00D8273E" w:rsidRDefault="00D8273E" w:rsidP="00D8273E">
      <w:pPr>
        <w:widowControl/>
        <w:spacing w:before="0" w:after="0"/>
        <w:ind w:firstLine="567"/>
        <w:jc w:val="both"/>
        <w:rPr>
          <w:rFonts w:ascii="Arial" w:hAnsi="Arial" w:cs="Arial"/>
          <w:b/>
          <w:i/>
        </w:rPr>
      </w:pPr>
      <w:r>
        <w:rPr>
          <w:rFonts w:ascii="Arial" w:hAnsi="Arial" w:cs="Arial"/>
          <w:b/>
          <w:i/>
        </w:rPr>
        <w:t xml:space="preserve">Эмитент подвержен риску снижения цен на производимую продукцию, который может быть вызван снижением спроса и/или усилением конкуренции в отрасли. </w:t>
      </w:r>
    </w:p>
    <w:p w:rsidR="00D8273E" w:rsidRDefault="00D8273E" w:rsidP="00D8273E">
      <w:pPr>
        <w:widowControl/>
        <w:spacing w:before="0" w:after="0"/>
        <w:ind w:firstLine="567"/>
        <w:jc w:val="both"/>
        <w:rPr>
          <w:rFonts w:ascii="Arial" w:hAnsi="Arial" w:cs="Arial"/>
          <w:b/>
          <w:i/>
        </w:rPr>
      </w:pPr>
      <w:r>
        <w:rPr>
          <w:rFonts w:ascii="Arial" w:hAnsi="Arial" w:cs="Arial"/>
          <w:b/>
          <w:i/>
        </w:rPr>
        <w:t>В настоящее время Эмитент располагает диверсифицированным портфелем инвестиционно-строительных проектов в различных районах Санкт-Петербурга, что обеспечивает возможность гибкого реагирования на изменения рыночной ситуации. В портфель входят инвестиционно-строительные проекты, ориентированные на различные классы покупателей:</w:t>
      </w:r>
    </w:p>
    <w:p w:rsidR="00D8273E" w:rsidRDefault="00D8273E" w:rsidP="00C85537">
      <w:pPr>
        <w:pStyle w:val="a9"/>
        <w:widowControl/>
        <w:numPr>
          <w:ilvl w:val="0"/>
          <w:numId w:val="2"/>
        </w:numPr>
        <w:spacing w:before="0" w:after="0"/>
        <w:ind w:left="0" w:firstLine="567"/>
        <w:jc w:val="both"/>
        <w:rPr>
          <w:rFonts w:ascii="Arial" w:hAnsi="Arial" w:cs="Arial"/>
          <w:b/>
          <w:i/>
        </w:rPr>
      </w:pPr>
      <w:r>
        <w:rPr>
          <w:rFonts w:ascii="Arial" w:hAnsi="Arial" w:cs="Arial"/>
          <w:b/>
          <w:i/>
        </w:rPr>
        <w:t>Квартальная застройка жилой недвижимости, реализуемая в районах города, находящихся на значительном расстоянии от делового и общественного центра Санкт-Петербурга, создает возможность сформировать цены на объекты данного типа доступными широкому кругу покупателей</w:t>
      </w:r>
      <w:r w:rsidR="00851163">
        <w:rPr>
          <w:rFonts w:ascii="Arial" w:hAnsi="Arial" w:cs="Arial"/>
          <w:b/>
          <w:i/>
        </w:rPr>
        <w:t>;</w:t>
      </w:r>
      <w:r>
        <w:rPr>
          <w:rFonts w:ascii="Arial" w:hAnsi="Arial" w:cs="Arial"/>
          <w:b/>
          <w:i/>
        </w:rPr>
        <w:t xml:space="preserve"> </w:t>
      </w:r>
    </w:p>
    <w:p w:rsidR="00D8273E" w:rsidRDefault="00D8273E" w:rsidP="00C85537">
      <w:pPr>
        <w:pStyle w:val="a9"/>
        <w:widowControl/>
        <w:numPr>
          <w:ilvl w:val="0"/>
          <w:numId w:val="2"/>
        </w:numPr>
        <w:spacing w:before="0" w:after="0"/>
        <w:ind w:left="0" w:firstLine="567"/>
        <w:jc w:val="both"/>
        <w:rPr>
          <w:rFonts w:ascii="Arial" w:hAnsi="Arial" w:cs="Arial"/>
          <w:b/>
          <w:i/>
        </w:rPr>
      </w:pPr>
      <w:r>
        <w:rPr>
          <w:rFonts w:ascii="Arial" w:hAnsi="Arial" w:cs="Arial"/>
          <w:b/>
          <w:i/>
        </w:rPr>
        <w:t>Проекты в центральных районах города с учетом относительно небольшого объема качественного предложения в центре Санкт-Петербурга способны позитивно повлиять на денежный поток Эмитента даже при проявлении негативных тенденций на рынке массового жилищного строительства.</w:t>
      </w:r>
    </w:p>
    <w:p w:rsidR="00D8273E" w:rsidRDefault="00D8273E" w:rsidP="00D8273E">
      <w:pPr>
        <w:widowControl/>
        <w:spacing w:before="0" w:after="0"/>
        <w:ind w:firstLine="567"/>
        <w:jc w:val="both"/>
        <w:rPr>
          <w:rFonts w:ascii="Arial" w:hAnsi="Arial" w:cs="Arial"/>
          <w:b/>
          <w:i/>
        </w:rPr>
      </w:pPr>
      <w:r>
        <w:rPr>
          <w:rFonts w:ascii="Arial" w:hAnsi="Arial" w:cs="Arial"/>
          <w:b/>
          <w:i/>
        </w:rPr>
        <w:t xml:space="preserve">Поддержание спроса на продукцию Эмитента может быть также обеспечено узнаваемостью бренда компании, высоким качеством продукции Общества, положительной историей ведения бизнеса в течение, </w:t>
      </w:r>
      <w:r w:rsidRPr="005D231F">
        <w:rPr>
          <w:rFonts w:ascii="Arial" w:hAnsi="Arial" w:cs="Arial"/>
          <w:b/>
          <w:i/>
        </w:rPr>
        <w:t>более чем 2</w:t>
      </w:r>
      <w:r w:rsidRPr="00FE2534">
        <w:rPr>
          <w:rFonts w:ascii="Arial" w:hAnsi="Arial" w:cs="Arial"/>
          <w:b/>
          <w:i/>
        </w:rPr>
        <w:t>8</w:t>
      </w:r>
      <w:r w:rsidRPr="005D231F">
        <w:rPr>
          <w:rFonts w:ascii="Arial" w:hAnsi="Arial" w:cs="Arial"/>
          <w:b/>
          <w:i/>
        </w:rPr>
        <w:t>-лет,</w:t>
      </w:r>
      <w:r>
        <w:rPr>
          <w:rFonts w:ascii="Arial" w:hAnsi="Arial" w:cs="Arial"/>
          <w:b/>
          <w:i/>
        </w:rPr>
        <w:t xml:space="preserve"> а также индивидуальным подходом к каждому клиенту, наличием гибкой системы скидок и рассрочек по оплате заключаемых договоров.</w:t>
      </w:r>
    </w:p>
    <w:p w:rsidR="00D8273E" w:rsidRDefault="00D8273E" w:rsidP="00D8273E">
      <w:pPr>
        <w:widowControl/>
        <w:spacing w:before="0" w:after="0"/>
        <w:ind w:firstLine="567"/>
        <w:jc w:val="both"/>
        <w:rPr>
          <w:rFonts w:ascii="Arial" w:hAnsi="Arial" w:cs="Arial"/>
          <w:b/>
          <w:i/>
        </w:rPr>
      </w:pPr>
      <w:r>
        <w:rPr>
          <w:rFonts w:ascii="Arial" w:hAnsi="Arial" w:cs="Arial"/>
          <w:b/>
          <w:i/>
        </w:rPr>
        <w:t>В случае снижения цены реализации недвижимости, Эмитент имеет возможность компенсировать данный риск, как оперативным управлением себестоимостью, так и концентрацией усилий на наиболее эффективных с точки зрения генерирования денежного потока инвестиционно-строительных проектах.</w:t>
      </w:r>
    </w:p>
    <w:p w:rsidR="00D8273E" w:rsidRDefault="00D8273E" w:rsidP="00D8273E">
      <w:pPr>
        <w:widowControl/>
        <w:spacing w:before="0" w:after="0"/>
        <w:ind w:firstLine="567"/>
        <w:jc w:val="both"/>
        <w:rPr>
          <w:rFonts w:ascii="Arial" w:hAnsi="Arial" w:cs="Arial"/>
          <w:b/>
          <w:i/>
        </w:rPr>
      </w:pPr>
      <w:r>
        <w:rPr>
          <w:rFonts w:ascii="Arial" w:hAnsi="Arial" w:cs="Arial"/>
          <w:b/>
          <w:i/>
        </w:rPr>
        <w:t xml:space="preserve">С учетом вышеизложенного, указанные риски, по мнению Эмитента, не представляют существенной угрозы деятельности Эмитента, однако способны, в определенной степени, повлиять на деятельность Эмитента. </w:t>
      </w:r>
    </w:p>
    <w:p w:rsidR="00D8273E" w:rsidRDefault="00D8273E" w:rsidP="00D8273E">
      <w:pPr>
        <w:widowControl/>
        <w:spacing w:before="0" w:after="0"/>
        <w:ind w:firstLine="567"/>
        <w:jc w:val="both"/>
        <w:rPr>
          <w:rFonts w:ascii="Arial" w:hAnsi="Arial" w:cs="Arial"/>
          <w:b/>
          <w:i/>
        </w:rPr>
      </w:pPr>
      <w:r>
        <w:rPr>
          <w:rFonts w:ascii="Arial" w:hAnsi="Arial" w:cs="Arial"/>
          <w:b/>
          <w:i/>
        </w:rPr>
        <w:t>Влияние указанных рисков на исполнение обязательств Эмитента по ценным бумагам оценивается как минимальное.</w:t>
      </w:r>
    </w:p>
    <w:p w:rsidR="000647F2" w:rsidRDefault="000647F2" w:rsidP="000647F2">
      <w:pPr>
        <w:widowControl/>
        <w:spacing w:before="0" w:after="0"/>
        <w:ind w:left="108" w:firstLine="708"/>
        <w:jc w:val="both"/>
        <w:rPr>
          <w:rFonts w:ascii="Arial" w:hAnsi="Arial" w:cs="Arial"/>
          <w:bCs/>
          <w:iCs/>
          <w:u w:val="single" w:color="000000"/>
        </w:rPr>
      </w:pPr>
    </w:p>
    <w:p w:rsidR="000647F2" w:rsidRDefault="000647F2" w:rsidP="000647F2">
      <w:pPr>
        <w:widowControl/>
        <w:spacing w:before="0" w:after="0"/>
        <w:ind w:left="108" w:firstLine="708"/>
        <w:jc w:val="both"/>
        <w:rPr>
          <w:rFonts w:ascii="Arial" w:hAnsi="Arial" w:cs="Arial"/>
          <w:bCs/>
          <w:iCs/>
          <w:u w:val="single" w:color="000000"/>
        </w:rPr>
      </w:pPr>
      <w:r>
        <w:rPr>
          <w:rFonts w:ascii="Arial" w:hAnsi="Arial" w:cs="Arial"/>
          <w:bCs/>
          <w:iCs/>
          <w:u w:val="single" w:color="000000"/>
        </w:rPr>
        <w:t>На внешнем рынке:</w:t>
      </w:r>
    </w:p>
    <w:p w:rsidR="000647F2" w:rsidRDefault="000647F2" w:rsidP="000647F2">
      <w:pPr>
        <w:widowControl/>
        <w:spacing w:before="0" w:after="0"/>
        <w:ind w:firstLine="567"/>
        <w:jc w:val="both"/>
        <w:rPr>
          <w:rFonts w:ascii="Arial" w:hAnsi="Arial" w:cs="Arial"/>
          <w:b/>
          <w:i/>
        </w:rPr>
      </w:pPr>
    </w:p>
    <w:p w:rsidR="000647F2" w:rsidRDefault="000647F2" w:rsidP="000647F2">
      <w:pPr>
        <w:widowControl/>
        <w:spacing w:before="0" w:after="0"/>
        <w:ind w:firstLine="567"/>
        <w:jc w:val="both"/>
        <w:rPr>
          <w:rFonts w:ascii="Arial" w:hAnsi="Arial" w:cs="Arial"/>
          <w:b/>
          <w:i/>
        </w:rPr>
      </w:pPr>
      <w:r>
        <w:rPr>
          <w:rFonts w:ascii="Arial" w:hAnsi="Arial" w:cs="Arial"/>
          <w:b/>
          <w:i/>
        </w:rPr>
        <w:t>Эмитент считает указанные риски минимальными, так как осуществляет основную деятельность на рынке недвижимости Санкт-Петербурга.</w:t>
      </w:r>
    </w:p>
    <w:p w:rsidR="000647F2" w:rsidRDefault="000647F2" w:rsidP="000647F2">
      <w:pPr>
        <w:pStyle w:val="ConsPlusNormal"/>
        <w:jc w:val="both"/>
        <w:rPr>
          <w:rFonts w:ascii="Times New Roman" w:hAnsi="Times New Roman" w:cs="Times New Roman"/>
        </w:rPr>
      </w:pPr>
    </w:p>
    <w:p w:rsidR="000647F2" w:rsidRPr="002E4F70" w:rsidRDefault="000647F2" w:rsidP="000647F2">
      <w:pPr>
        <w:pStyle w:val="ConsPlusNormal"/>
        <w:ind w:firstLine="540"/>
        <w:jc w:val="both"/>
        <w:outlineLvl w:val="2"/>
        <w:rPr>
          <w:b/>
          <w:sz w:val="26"/>
          <w:szCs w:val="26"/>
        </w:rPr>
      </w:pPr>
      <w:bookmarkStart w:id="24" w:name="_Toc448251129"/>
      <w:r w:rsidRPr="002E4F70">
        <w:rPr>
          <w:b/>
          <w:sz w:val="26"/>
          <w:szCs w:val="26"/>
        </w:rPr>
        <w:t>2.5.2. Страновые и региональные риски</w:t>
      </w:r>
      <w:bookmarkEnd w:id="24"/>
    </w:p>
    <w:p w:rsidR="000647F2" w:rsidRDefault="000647F2" w:rsidP="000647F2">
      <w:pPr>
        <w:pStyle w:val="ConsPlusNormal"/>
        <w:ind w:firstLine="540"/>
        <w:jc w:val="both"/>
        <w:rPr>
          <w:rFonts w:ascii="Times New Roman" w:hAnsi="Times New Roman" w:cs="Times New Roman"/>
        </w:rPr>
      </w:pPr>
    </w:p>
    <w:p w:rsidR="000647F2" w:rsidRDefault="000647F2" w:rsidP="000647F2">
      <w:pPr>
        <w:pStyle w:val="ConsPlusNormal"/>
        <w:ind w:firstLine="540"/>
        <w:jc w:val="both"/>
        <w:rPr>
          <w:rFonts w:ascii="Times New Roman" w:hAnsi="Times New Roman" w:cs="Times New Roman"/>
        </w:rPr>
      </w:pPr>
      <w:r>
        <w:rPr>
          <w:rFonts w:ascii="Times New Roman" w:hAnsi="Times New Roman" w:cs="Times New Roman"/>
        </w:rPr>
        <w:t>Описываются риски, связанные с политической и экономической ситуацией в стране (странах) и регионе, в которых эмитент зарегистрирован в качестве налогоплательщика и (или) осуществляет основную деятельность, при условии, что основная деятельность эмитента в такой стране (регионе) приносит 10 и более процентов доходов за последний завершенный отчетный период до даты утверждения проспекта ценных бумаг.</w:t>
      </w:r>
    </w:p>
    <w:p w:rsidR="000647F2" w:rsidRDefault="000647F2" w:rsidP="000647F2">
      <w:pPr>
        <w:widowControl/>
        <w:spacing w:before="0" w:after="0"/>
        <w:ind w:firstLine="567"/>
        <w:jc w:val="both"/>
        <w:rPr>
          <w:rFonts w:ascii="Arial" w:hAnsi="Arial" w:cs="Arial"/>
          <w:b/>
          <w:i/>
        </w:rPr>
      </w:pPr>
    </w:p>
    <w:p w:rsidR="000647F2" w:rsidRDefault="000647F2" w:rsidP="000647F2">
      <w:pPr>
        <w:widowControl/>
        <w:spacing w:before="0" w:after="0"/>
        <w:ind w:firstLine="567"/>
        <w:jc w:val="both"/>
        <w:rPr>
          <w:rFonts w:ascii="Arial" w:hAnsi="Arial" w:cs="Arial"/>
          <w:b/>
          <w:i/>
        </w:rPr>
      </w:pPr>
      <w:r>
        <w:rPr>
          <w:rFonts w:ascii="Arial" w:hAnsi="Arial" w:cs="Arial"/>
          <w:b/>
          <w:i/>
        </w:rPr>
        <w:t>Эмитент ведет свою хозяйственную деятельность на территории Российской Федерации. В качестве налогоплательщика Эмитент зарегистрирован в г. Санкт-Петербург, являющемся вторым по величине городом России.</w:t>
      </w:r>
    </w:p>
    <w:p w:rsidR="000647F2" w:rsidRDefault="000647F2" w:rsidP="000647F2">
      <w:pPr>
        <w:widowControl/>
        <w:spacing w:before="0" w:after="0"/>
        <w:ind w:firstLine="567"/>
        <w:jc w:val="both"/>
        <w:rPr>
          <w:rFonts w:ascii="Arial" w:hAnsi="Arial" w:cs="Arial"/>
          <w:b/>
          <w:i/>
        </w:rPr>
      </w:pPr>
      <w:r>
        <w:rPr>
          <w:rFonts w:ascii="Arial" w:hAnsi="Arial" w:cs="Arial"/>
          <w:b/>
          <w:i/>
        </w:rPr>
        <w:t xml:space="preserve">По мнению Эмитента, риски, связанные с политической и экономической ситуацией в стране и регионе присутствия, заключаются в том, что резкое </w:t>
      </w:r>
      <w:r w:rsidR="00851163">
        <w:rPr>
          <w:rFonts w:ascii="Arial" w:hAnsi="Arial" w:cs="Arial"/>
          <w:b/>
          <w:i/>
        </w:rPr>
        <w:t xml:space="preserve">изменение </w:t>
      </w:r>
      <w:r>
        <w:rPr>
          <w:rFonts w:ascii="Arial" w:hAnsi="Arial" w:cs="Arial"/>
          <w:b/>
          <w:i/>
        </w:rPr>
        <w:t xml:space="preserve">политической и экономической ситуации в стране могут привести к ухудшению положения всей национальной экономики и, тем самым, привести к ухудшению финансового положения всех субъектов предпринимательской деятельности, включая Эмитента. Однако в настоящее время политическая ситуация в России может быть охарактеризована как стабильная. </w:t>
      </w:r>
    </w:p>
    <w:p w:rsidR="000647F2" w:rsidRDefault="000647F2" w:rsidP="000647F2">
      <w:pPr>
        <w:widowControl/>
        <w:spacing w:before="0" w:after="0"/>
        <w:ind w:firstLine="567"/>
        <w:jc w:val="both"/>
        <w:rPr>
          <w:rFonts w:ascii="Arial" w:hAnsi="Arial" w:cs="Arial"/>
          <w:b/>
          <w:i/>
        </w:rPr>
      </w:pPr>
      <w:r>
        <w:rPr>
          <w:rFonts w:ascii="Arial" w:hAnsi="Arial" w:cs="Arial"/>
          <w:b/>
          <w:i/>
        </w:rPr>
        <w:t xml:space="preserve">Поскольку Эмитент не ведет свою предпринимательскую деятельностью на внешних рынках, постольку отсутствуют и риски, характерные для компаний, ориентированных на экспорт (импорт). </w:t>
      </w:r>
    </w:p>
    <w:p w:rsidR="000647F2" w:rsidRDefault="000647F2" w:rsidP="000647F2">
      <w:pPr>
        <w:widowControl/>
        <w:spacing w:before="0" w:after="0"/>
        <w:ind w:firstLine="709"/>
        <w:jc w:val="both"/>
        <w:rPr>
          <w:sz w:val="22"/>
          <w:szCs w:val="24"/>
          <w:u w:val="single"/>
        </w:rPr>
      </w:pPr>
    </w:p>
    <w:p w:rsidR="000647F2" w:rsidRDefault="000647F2" w:rsidP="000647F2">
      <w:pPr>
        <w:widowControl/>
        <w:spacing w:before="0" w:after="0"/>
        <w:ind w:firstLine="709"/>
        <w:jc w:val="both"/>
        <w:rPr>
          <w:rFonts w:ascii="Arial" w:hAnsi="Arial" w:cs="Arial"/>
          <w:b/>
          <w:i/>
          <w:strike/>
          <w:sz w:val="22"/>
          <w:szCs w:val="24"/>
        </w:rPr>
      </w:pPr>
      <w:r>
        <w:rPr>
          <w:rFonts w:ascii="Arial" w:hAnsi="Arial" w:cs="Arial"/>
          <w:sz w:val="22"/>
          <w:szCs w:val="24"/>
          <w:u w:val="single"/>
        </w:rPr>
        <w:t>Страновые риски:</w:t>
      </w:r>
    </w:p>
    <w:p w:rsidR="000647F2" w:rsidRDefault="000647F2" w:rsidP="000647F2">
      <w:pPr>
        <w:widowControl/>
        <w:spacing w:before="0" w:after="0"/>
        <w:ind w:firstLine="708"/>
        <w:jc w:val="both"/>
        <w:rPr>
          <w:b/>
          <w:i/>
          <w:sz w:val="22"/>
          <w:szCs w:val="24"/>
        </w:rPr>
      </w:pPr>
    </w:p>
    <w:p w:rsidR="000647F2" w:rsidRDefault="000647F2" w:rsidP="000647F2">
      <w:pPr>
        <w:widowControl/>
        <w:spacing w:before="0" w:after="0"/>
        <w:ind w:firstLine="567"/>
        <w:jc w:val="both"/>
        <w:rPr>
          <w:rFonts w:ascii="Arial" w:hAnsi="Arial" w:cs="Arial"/>
          <w:b/>
          <w:i/>
        </w:rPr>
      </w:pPr>
      <w:r>
        <w:rPr>
          <w:rFonts w:ascii="Arial" w:hAnsi="Arial" w:cs="Arial"/>
          <w:b/>
          <w:i/>
        </w:rPr>
        <w:t>Анализируя основные страновые и региональные риски, влияющие на деятельность Эмитента, можно отметить, что, прежде всего, оценке подлежат риски, связанные с изменением экономической и политической ситуации в России.</w:t>
      </w:r>
    </w:p>
    <w:p w:rsidR="000647F2" w:rsidRDefault="000647F2" w:rsidP="000647F2">
      <w:pPr>
        <w:widowControl/>
        <w:spacing w:before="0" w:after="0"/>
        <w:ind w:firstLine="567"/>
        <w:jc w:val="both"/>
        <w:rPr>
          <w:rFonts w:ascii="Arial" w:hAnsi="Arial" w:cs="Arial"/>
          <w:b/>
          <w:i/>
        </w:rPr>
      </w:pPr>
      <w:r>
        <w:rPr>
          <w:rFonts w:ascii="Arial" w:hAnsi="Arial" w:cs="Arial"/>
          <w:b/>
          <w:i/>
        </w:rPr>
        <w:t>Применительно к политическим рискам Эмитент отмечает, что санкции, наложенные на Россию, неизбежно оказывают давление прежде всего на финансовый сектор страны, закрывая доступ к иностранным долгосрочным финансовым ресурсам.</w:t>
      </w:r>
    </w:p>
    <w:p w:rsidR="000647F2" w:rsidRDefault="000647F2" w:rsidP="000647F2">
      <w:pPr>
        <w:widowControl/>
        <w:spacing w:before="0" w:after="0"/>
        <w:ind w:firstLine="567"/>
        <w:jc w:val="both"/>
        <w:rPr>
          <w:rFonts w:ascii="Arial" w:hAnsi="Arial" w:cs="Arial"/>
          <w:b/>
          <w:i/>
        </w:rPr>
      </w:pPr>
      <w:r>
        <w:rPr>
          <w:rFonts w:ascii="Arial" w:hAnsi="Arial" w:cs="Arial"/>
          <w:b/>
          <w:i/>
        </w:rPr>
        <w:t>Важно отметить, что введенные США, Канадой и ЕС «секторальные» санкции не затронули строительную отрасль. Кроме того, в отличие от некоторых других отраслей строительная отрасль в меньшей степени зависит от импорта оборудования и строительных материалов, поскольку большая часть оборудования и строительных материалов производится в России, а импортные компоненты могут быть успешно заменены отечественными аналогами. Поэтому влияние санкций на строительную отрасль не будет иметь определяющего значения.</w:t>
      </w:r>
    </w:p>
    <w:p w:rsidR="000647F2" w:rsidRDefault="000647F2" w:rsidP="000647F2">
      <w:pPr>
        <w:widowControl/>
        <w:spacing w:before="0" w:after="0"/>
        <w:ind w:firstLine="567"/>
        <w:jc w:val="both"/>
        <w:rPr>
          <w:rFonts w:ascii="Arial" w:hAnsi="Arial" w:cs="Arial"/>
          <w:b/>
          <w:i/>
        </w:rPr>
      </w:pPr>
      <w:r>
        <w:rPr>
          <w:rFonts w:ascii="Arial" w:hAnsi="Arial" w:cs="Arial"/>
          <w:b/>
          <w:i/>
        </w:rPr>
        <w:t>В отношении экономических рисков Эмитент отмечает</w:t>
      </w:r>
      <w:r w:rsidR="00851163">
        <w:rPr>
          <w:rFonts w:ascii="Arial" w:hAnsi="Arial" w:cs="Arial"/>
          <w:b/>
          <w:i/>
        </w:rPr>
        <w:t>, что о</w:t>
      </w:r>
      <w:r>
        <w:rPr>
          <w:rFonts w:ascii="Arial" w:hAnsi="Arial" w:cs="Arial"/>
          <w:b/>
          <w:i/>
        </w:rPr>
        <w:t xml:space="preserve">слабление покупательной способности внутри страны в результате обесценения рубля и роста инфляции (и как следствие снижение реальных располагаемых доходов у населения – потенциальных клиентов Эмитента) может ограничивать спрос на продукцию Эмитента. </w:t>
      </w:r>
    </w:p>
    <w:p w:rsidR="000647F2" w:rsidRDefault="000647F2" w:rsidP="000647F2">
      <w:pPr>
        <w:widowControl/>
        <w:spacing w:before="0" w:after="0"/>
        <w:ind w:firstLine="567"/>
        <w:jc w:val="both"/>
        <w:rPr>
          <w:rFonts w:ascii="Arial" w:hAnsi="Arial" w:cs="Arial"/>
          <w:b/>
          <w:i/>
        </w:rPr>
      </w:pPr>
      <w:r>
        <w:rPr>
          <w:rFonts w:ascii="Arial" w:hAnsi="Arial" w:cs="Arial"/>
          <w:b/>
          <w:i/>
        </w:rPr>
        <w:t>Необходимо отметить, что текущая экономическая ситуация является особо сложной для тех компаний, у которых существуют значительные долговые обязательства в иностранной валюте, в отсутствие при этом необходимого для обслуживания долга потока валютной выручки. Для деятельности Эмитента, не имеющего в своем кредитном портфеле ссудной задолженности в иностранной валюте, анализируемые отрицательные факторы не окажут влияния.</w:t>
      </w:r>
    </w:p>
    <w:p w:rsidR="000647F2" w:rsidRDefault="000647F2" w:rsidP="000647F2">
      <w:pPr>
        <w:widowControl/>
        <w:spacing w:before="0" w:after="0"/>
        <w:ind w:firstLine="567"/>
        <w:jc w:val="both"/>
        <w:rPr>
          <w:rFonts w:ascii="Arial" w:hAnsi="Arial" w:cs="Arial"/>
          <w:b/>
          <w:i/>
        </w:rPr>
      </w:pPr>
      <w:r>
        <w:rPr>
          <w:rFonts w:ascii="Arial" w:hAnsi="Arial" w:cs="Arial"/>
          <w:b/>
          <w:i/>
        </w:rPr>
        <w:t>По мнению Эмитента, экономическая и политическая ситуация в России и Санкт-Петербург</w:t>
      </w:r>
      <w:r w:rsidR="00851163">
        <w:rPr>
          <w:rFonts w:ascii="Arial" w:hAnsi="Arial" w:cs="Arial"/>
          <w:b/>
          <w:i/>
        </w:rPr>
        <w:t>е</w:t>
      </w:r>
      <w:r>
        <w:rPr>
          <w:rFonts w:ascii="Arial" w:hAnsi="Arial" w:cs="Arial"/>
          <w:b/>
          <w:i/>
        </w:rPr>
        <w:t xml:space="preserve"> может быть охарактеризована как достаточно стабильная. </w:t>
      </w:r>
    </w:p>
    <w:p w:rsidR="000647F2" w:rsidRDefault="000647F2" w:rsidP="000647F2">
      <w:pPr>
        <w:widowControl/>
        <w:spacing w:before="0" w:after="0"/>
        <w:ind w:firstLine="567"/>
        <w:jc w:val="both"/>
        <w:rPr>
          <w:rFonts w:ascii="Arial" w:hAnsi="Arial" w:cs="Arial"/>
          <w:b/>
          <w:i/>
        </w:rPr>
      </w:pPr>
      <w:r>
        <w:rPr>
          <w:rFonts w:ascii="Arial" w:hAnsi="Arial" w:cs="Arial"/>
          <w:b/>
          <w:i/>
        </w:rPr>
        <w:t>При этом нельзя полностью исключить, что низкий уровень мировых цен на нефть, а также существенная напряженность в отношениях между Россией и США не приведут к изменению экономической ситуации в стране и, как следствие, ухудшению положения всех субъектов предпринимательской деятельности, включая Эмитента.</w:t>
      </w:r>
    </w:p>
    <w:p w:rsidR="000647F2" w:rsidRDefault="000647F2" w:rsidP="000647F2">
      <w:pPr>
        <w:widowControl/>
        <w:spacing w:before="0" w:after="0"/>
        <w:jc w:val="both"/>
        <w:rPr>
          <w:b/>
          <w:i/>
          <w:sz w:val="22"/>
          <w:szCs w:val="24"/>
        </w:rPr>
      </w:pPr>
    </w:p>
    <w:p w:rsidR="000647F2" w:rsidRPr="00D8273E" w:rsidRDefault="000647F2" w:rsidP="000647F2">
      <w:pPr>
        <w:widowControl/>
        <w:spacing w:before="0" w:after="0"/>
        <w:ind w:firstLine="709"/>
        <w:jc w:val="both"/>
        <w:rPr>
          <w:rFonts w:ascii="Arial" w:hAnsi="Arial" w:cs="Arial"/>
          <w:u w:val="single"/>
        </w:rPr>
      </w:pPr>
      <w:r w:rsidRPr="00D8273E">
        <w:rPr>
          <w:rFonts w:ascii="Arial" w:hAnsi="Arial" w:cs="Arial"/>
          <w:u w:val="single"/>
        </w:rPr>
        <w:t>Региональные риски:</w:t>
      </w:r>
    </w:p>
    <w:p w:rsidR="000647F2" w:rsidRDefault="000647F2" w:rsidP="000647F2">
      <w:pPr>
        <w:widowControl/>
        <w:spacing w:before="0" w:after="0"/>
        <w:ind w:firstLine="567"/>
        <w:jc w:val="both"/>
        <w:rPr>
          <w:rFonts w:ascii="Arial" w:hAnsi="Arial" w:cs="Arial"/>
          <w:b/>
          <w:i/>
        </w:rPr>
      </w:pPr>
    </w:p>
    <w:p w:rsidR="000647F2" w:rsidRDefault="000647F2" w:rsidP="000647F2">
      <w:pPr>
        <w:widowControl/>
        <w:spacing w:before="0" w:after="0"/>
        <w:ind w:firstLine="567"/>
        <w:jc w:val="both"/>
        <w:rPr>
          <w:rFonts w:ascii="Arial" w:hAnsi="Arial" w:cs="Arial"/>
          <w:b/>
          <w:i/>
        </w:rPr>
      </w:pPr>
      <w:r>
        <w:rPr>
          <w:rFonts w:ascii="Arial" w:hAnsi="Arial" w:cs="Arial"/>
          <w:b/>
          <w:i/>
        </w:rPr>
        <w:t xml:space="preserve">Регионом деятельности Эмитента является Санкт-Петербург - административный центр Северо-Западного федерального округа. Город является регионом с высокой инвестиционной привлекательностью, обладает значительным инвестиционным и экономическим потенциалом. </w:t>
      </w:r>
    </w:p>
    <w:p w:rsidR="000647F2" w:rsidRDefault="000647F2" w:rsidP="000647F2">
      <w:pPr>
        <w:widowControl/>
        <w:spacing w:before="0" w:after="0"/>
        <w:ind w:firstLine="567"/>
        <w:jc w:val="both"/>
        <w:rPr>
          <w:rFonts w:ascii="Arial" w:hAnsi="Arial" w:cs="Arial"/>
          <w:b/>
          <w:i/>
        </w:rPr>
      </w:pPr>
      <w:r>
        <w:rPr>
          <w:rFonts w:ascii="Arial" w:hAnsi="Arial" w:cs="Arial"/>
          <w:b/>
          <w:i/>
        </w:rPr>
        <w:t>Эмитент оценивает ситуацию в Санкт-Петербурге как стабильную и благоприятную. Деятельность Правительства города обеспечивает значительный приток инвестиций в регион, способствует развитию инфраструктуры.</w:t>
      </w:r>
    </w:p>
    <w:p w:rsidR="000647F2" w:rsidRDefault="000647F2" w:rsidP="000647F2">
      <w:pPr>
        <w:widowControl/>
        <w:spacing w:before="0" w:after="0"/>
        <w:ind w:firstLine="567"/>
        <w:jc w:val="both"/>
        <w:rPr>
          <w:rFonts w:ascii="Arial" w:hAnsi="Arial" w:cs="Arial"/>
          <w:b/>
          <w:i/>
        </w:rPr>
      </w:pPr>
      <w:r>
        <w:rPr>
          <w:rFonts w:ascii="Arial" w:hAnsi="Arial" w:cs="Arial"/>
          <w:b/>
          <w:i/>
        </w:rPr>
        <w:t>Объем дефицита бюджета Санкт-Петербурга на ближайшие три года согласно принятому 02.12.2015 года региональному закону не превышает 15% от доходов и имеет источники покрытия. Кроме того, по данным комитета финансов Санкт-Петербурга, бюджет 2015 г</w:t>
      </w:r>
      <w:r w:rsidR="00C85537">
        <w:rPr>
          <w:rFonts w:ascii="Arial" w:hAnsi="Arial" w:cs="Arial"/>
          <w:b/>
          <w:i/>
        </w:rPr>
        <w:t>ода</w:t>
      </w:r>
      <w:r>
        <w:rPr>
          <w:rFonts w:ascii="Arial" w:hAnsi="Arial" w:cs="Arial"/>
          <w:b/>
          <w:i/>
        </w:rPr>
        <w:t xml:space="preserve"> исполнен с профицитом, несмотря на прогнозировавшийся  дефицит. Таким образом, город придерживается взвешенной политики при управлении расходами, долговыми обязательствами и ликвидностью, что выгодно отличает Санкт-Петербург от большинства других субъектов РФ.</w:t>
      </w:r>
    </w:p>
    <w:p w:rsidR="000647F2" w:rsidRDefault="000647F2" w:rsidP="000647F2">
      <w:pPr>
        <w:widowControl/>
        <w:spacing w:before="0" w:after="0"/>
        <w:ind w:firstLine="567"/>
        <w:jc w:val="both"/>
        <w:rPr>
          <w:rFonts w:ascii="Arial" w:hAnsi="Arial" w:cs="Arial"/>
          <w:b/>
          <w:i/>
        </w:rPr>
      </w:pPr>
      <w:r>
        <w:rPr>
          <w:rFonts w:ascii="Arial" w:hAnsi="Arial" w:cs="Arial"/>
          <w:b/>
          <w:i/>
        </w:rPr>
        <w:t>Учитывая равномерность графика погашения долговых обязательства Санкт-Петербурга, невысокий удельный вес расходов на их обслуживание в общем объеме, а также консервативный подход к управлению финансами города, Эмитент оценивает вероятность реализации экономических рисков региона, таких как резкое увеличение дефицита бюджета города, при одновременном росте расходной частей бюджета, более ускоренное снижение деловой активности, нежели в среднем по России, как низкую.</w:t>
      </w:r>
    </w:p>
    <w:p w:rsidR="000647F2" w:rsidRDefault="000647F2" w:rsidP="000647F2">
      <w:pPr>
        <w:widowControl/>
        <w:spacing w:before="0" w:after="0"/>
        <w:ind w:firstLine="567"/>
        <w:jc w:val="both"/>
        <w:rPr>
          <w:rFonts w:ascii="Arial" w:hAnsi="Arial" w:cs="Arial"/>
          <w:b/>
          <w:i/>
        </w:rPr>
      </w:pPr>
    </w:p>
    <w:p w:rsidR="000647F2" w:rsidRDefault="000647F2" w:rsidP="000647F2">
      <w:pPr>
        <w:widowControl/>
        <w:spacing w:before="0" w:after="0"/>
        <w:ind w:firstLine="567"/>
        <w:jc w:val="both"/>
        <w:rPr>
          <w:rFonts w:ascii="Arial" w:hAnsi="Arial" w:cs="Arial"/>
          <w:b/>
          <w:i/>
        </w:rPr>
      </w:pPr>
      <w:r>
        <w:rPr>
          <w:rFonts w:ascii="Arial" w:hAnsi="Arial" w:cs="Arial"/>
          <w:b/>
          <w:i/>
        </w:rPr>
        <w:t>Риски географического характера, связанные с транспортной доступностью, природными катаклизмами и др., по мнению Эмитента, отсутствуют.</w:t>
      </w:r>
    </w:p>
    <w:p w:rsidR="000647F2" w:rsidRDefault="000647F2" w:rsidP="000647F2">
      <w:pPr>
        <w:pStyle w:val="ConsPlusNormal"/>
        <w:ind w:firstLine="540"/>
        <w:jc w:val="both"/>
        <w:rPr>
          <w:rFonts w:ascii="Times New Roman" w:hAnsi="Times New Roman" w:cs="Times New Roman"/>
        </w:rPr>
      </w:pPr>
    </w:p>
    <w:p w:rsidR="000647F2" w:rsidRDefault="000647F2" w:rsidP="000647F2">
      <w:pPr>
        <w:pStyle w:val="ConsPlusNormal"/>
        <w:ind w:firstLine="540"/>
        <w:jc w:val="both"/>
        <w:rPr>
          <w:rFonts w:ascii="Times New Roman" w:hAnsi="Times New Roman" w:cs="Times New Roman"/>
        </w:rPr>
      </w:pPr>
      <w:r>
        <w:rPr>
          <w:rFonts w:ascii="Times New Roman" w:hAnsi="Times New Roman" w:cs="Times New Roman"/>
        </w:rPr>
        <w:t>Указываются предполагаемые действия эмитента на случай отрицательного влияния изменения ситуации в стране (странах) и регионе на его деятельность.</w:t>
      </w:r>
    </w:p>
    <w:p w:rsidR="007A47A2" w:rsidRDefault="007A47A2" w:rsidP="000647F2">
      <w:pPr>
        <w:widowControl/>
        <w:spacing w:before="0" w:after="0"/>
        <w:ind w:firstLine="567"/>
        <w:jc w:val="both"/>
        <w:rPr>
          <w:rFonts w:ascii="Arial" w:hAnsi="Arial" w:cs="Arial"/>
          <w:b/>
          <w:i/>
        </w:rPr>
      </w:pPr>
    </w:p>
    <w:p w:rsidR="000647F2" w:rsidRDefault="000647F2" w:rsidP="000647F2">
      <w:pPr>
        <w:widowControl/>
        <w:spacing w:before="0" w:after="0"/>
        <w:ind w:firstLine="567"/>
        <w:jc w:val="both"/>
        <w:rPr>
          <w:rFonts w:ascii="Arial" w:hAnsi="Arial" w:cs="Arial"/>
          <w:b/>
          <w:i/>
        </w:rPr>
      </w:pPr>
      <w:r>
        <w:rPr>
          <w:rFonts w:ascii="Arial" w:hAnsi="Arial" w:cs="Arial"/>
          <w:b/>
          <w:i/>
        </w:rPr>
        <w:t>В случае отрицательных изменений ситуации в России и/или регионе присутствия Эмитента (г. Санкт-Петербург) Эмитент, как и любой субъект предпринимательской деятельности, будет адаптировать свою деятельность к сложившейся макроэкономической и/или политической ситуации, при этом необходимо принимать во внимание, что</w:t>
      </w:r>
    </w:p>
    <w:p w:rsidR="000647F2" w:rsidRDefault="000647F2" w:rsidP="00C85537">
      <w:pPr>
        <w:pStyle w:val="a9"/>
        <w:widowControl/>
        <w:numPr>
          <w:ilvl w:val="0"/>
          <w:numId w:val="2"/>
        </w:numPr>
        <w:spacing w:before="0" w:after="0"/>
        <w:ind w:left="0" w:firstLine="567"/>
        <w:jc w:val="both"/>
        <w:rPr>
          <w:rFonts w:ascii="Arial" w:hAnsi="Arial" w:cs="Arial"/>
          <w:b/>
          <w:i/>
        </w:rPr>
      </w:pPr>
      <w:r>
        <w:rPr>
          <w:rFonts w:ascii="Arial" w:hAnsi="Arial" w:cs="Arial"/>
          <w:b/>
          <w:i/>
        </w:rPr>
        <w:t>за более чем 28-летнию историю существования Эмитентом накоплен опыт ведения бизнеса в изменяющихся экономических и политических условиях;</w:t>
      </w:r>
    </w:p>
    <w:p w:rsidR="000647F2" w:rsidRDefault="000647F2" w:rsidP="00C85537">
      <w:pPr>
        <w:pStyle w:val="a9"/>
        <w:widowControl/>
        <w:numPr>
          <w:ilvl w:val="0"/>
          <w:numId w:val="2"/>
        </w:numPr>
        <w:spacing w:before="0" w:after="0"/>
        <w:ind w:left="0" w:firstLine="567"/>
        <w:jc w:val="both"/>
        <w:rPr>
          <w:rFonts w:ascii="Arial" w:hAnsi="Arial" w:cs="Arial"/>
          <w:b/>
          <w:i/>
        </w:rPr>
      </w:pPr>
      <w:r>
        <w:rPr>
          <w:rFonts w:ascii="Arial" w:hAnsi="Arial" w:cs="Arial"/>
          <w:b/>
          <w:i/>
        </w:rPr>
        <w:t>в уставном капитале Эмитента отсутствует доля, находящаяся в государственной (федеральной, субъектов Российской Федерации), муниципальной собственности;</w:t>
      </w:r>
    </w:p>
    <w:p w:rsidR="000647F2" w:rsidRDefault="000647F2" w:rsidP="00C85537">
      <w:pPr>
        <w:pStyle w:val="a9"/>
        <w:widowControl/>
        <w:numPr>
          <w:ilvl w:val="0"/>
          <w:numId w:val="2"/>
        </w:numPr>
        <w:spacing w:before="0" w:after="0"/>
        <w:ind w:left="0" w:firstLine="567"/>
        <w:jc w:val="both"/>
        <w:rPr>
          <w:rFonts w:ascii="Arial" w:hAnsi="Arial" w:cs="Arial"/>
          <w:b/>
          <w:i/>
        </w:rPr>
      </w:pPr>
      <w:r>
        <w:rPr>
          <w:rFonts w:ascii="Arial" w:hAnsi="Arial" w:cs="Arial"/>
          <w:b/>
          <w:i/>
        </w:rPr>
        <w:t>Эмитент не получал государственные гарантии по кредитам и/или займам;</w:t>
      </w:r>
    </w:p>
    <w:p w:rsidR="000647F2" w:rsidRDefault="000647F2" w:rsidP="00C85537">
      <w:pPr>
        <w:pStyle w:val="a9"/>
        <w:widowControl/>
        <w:numPr>
          <w:ilvl w:val="0"/>
          <w:numId w:val="2"/>
        </w:numPr>
        <w:spacing w:before="0" w:after="0"/>
        <w:ind w:left="0" w:firstLine="567"/>
        <w:jc w:val="both"/>
        <w:rPr>
          <w:rFonts w:ascii="Arial" w:hAnsi="Arial" w:cs="Arial"/>
          <w:b/>
          <w:i/>
        </w:rPr>
      </w:pPr>
      <w:r>
        <w:rPr>
          <w:rFonts w:ascii="Arial" w:hAnsi="Arial" w:cs="Arial"/>
          <w:b/>
          <w:i/>
        </w:rPr>
        <w:t>Эмитент не участвует в программах массового жилищного строительства, финансируемого из государственного и/или федерального бюджета, поэтому прямо не зависит от возможных сокращений государственной поддержки по указанным направлениям деятельности.</w:t>
      </w:r>
    </w:p>
    <w:p w:rsidR="000647F2" w:rsidRDefault="000647F2" w:rsidP="000647F2">
      <w:pPr>
        <w:pStyle w:val="ConsPlusNormal"/>
        <w:ind w:firstLine="540"/>
        <w:jc w:val="both"/>
        <w:rPr>
          <w:rFonts w:ascii="Times New Roman" w:hAnsi="Times New Roman" w:cs="Times New Roman"/>
        </w:rPr>
      </w:pPr>
    </w:p>
    <w:p w:rsidR="000647F2" w:rsidRDefault="000647F2" w:rsidP="000647F2">
      <w:pPr>
        <w:pStyle w:val="ConsPlusNormal"/>
        <w:ind w:firstLine="540"/>
        <w:jc w:val="both"/>
        <w:rPr>
          <w:rFonts w:ascii="Times New Roman" w:hAnsi="Times New Roman" w:cs="Times New Roman"/>
        </w:rPr>
      </w:pPr>
      <w:r>
        <w:rPr>
          <w:rFonts w:ascii="Times New Roman" w:hAnsi="Times New Roman" w:cs="Times New Roman"/>
        </w:rPr>
        <w:t>Описываются риски, связанные с возможными военными конфликтами, введением чрезвычайного положения и забастовками в стране (странах) и регионе, в которых эмитент зарегистрирован в качестве налогоплательщика и (или) осуществляет основную деятельность.</w:t>
      </w:r>
    </w:p>
    <w:p w:rsidR="000647F2" w:rsidRDefault="000647F2" w:rsidP="000647F2">
      <w:pPr>
        <w:widowControl/>
        <w:spacing w:before="0" w:after="0"/>
        <w:ind w:firstLine="567"/>
        <w:jc w:val="both"/>
        <w:rPr>
          <w:rFonts w:ascii="Arial" w:hAnsi="Arial" w:cs="Arial"/>
          <w:b/>
          <w:i/>
        </w:rPr>
      </w:pPr>
    </w:p>
    <w:p w:rsidR="000647F2" w:rsidRDefault="000647F2" w:rsidP="000647F2">
      <w:pPr>
        <w:widowControl/>
        <w:spacing w:before="0" w:after="0"/>
        <w:ind w:firstLine="567"/>
        <w:jc w:val="both"/>
        <w:rPr>
          <w:rFonts w:ascii="Arial" w:hAnsi="Arial" w:cs="Arial"/>
          <w:b/>
          <w:i/>
        </w:rPr>
      </w:pPr>
      <w:r>
        <w:rPr>
          <w:rFonts w:ascii="Arial" w:hAnsi="Arial" w:cs="Arial"/>
          <w:b/>
          <w:i/>
        </w:rPr>
        <w:t>Риски, связанные с возможными военными конфликтами, введением чрезвычайного положения и забастовками в стране и в регионе присутствия Эмитента (</w:t>
      </w:r>
      <w:r w:rsidR="00851163">
        <w:rPr>
          <w:rFonts w:ascii="Arial" w:hAnsi="Arial" w:cs="Arial"/>
          <w:b/>
          <w:i/>
        </w:rPr>
        <w:t xml:space="preserve">г. </w:t>
      </w:r>
      <w:r>
        <w:rPr>
          <w:rFonts w:ascii="Arial" w:hAnsi="Arial" w:cs="Arial"/>
          <w:b/>
          <w:i/>
        </w:rPr>
        <w:t>Санкт-Петербург) Эмитент считает крайне маловероятными.</w:t>
      </w:r>
    </w:p>
    <w:p w:rsidR="000647F2" w:rsidRDefault="000647F2" w:rsidP="000647F2">
      <w:pPr>
        <w:pStyle w:val="ConsPlusNormal"/>
        <w:ind w:firstLine="540"/>
        <w:jc w:val="both"/>
        <w:rPr>
          <w:rFonts w:ascii="Times New Roman" w:hAnsi="Times New Roman" w:cs="Times New Roman"/>
        </w:rPr>
      </w:pPr>
    </w:p>
    <w:p w:rsidR="000647F2" w:rsidRDefault="000647F2" w:rsidP="000647F2">
      <w:pPr>
        <w:pStyle w:val="ConsPlusNormal"/>
        <w:ind w:firstLine="540"/>
        <w:jc w:val="both"/>
        <w:rPr>
          <w:rFonts w:ascii="Times New Roman" w:hAnsi="Times New Roman" w:cs="Times New Roman"/>
        </w:rPr>
      </w:pPr>
      <w:r>
        <w:rPr>
          <w:rFonts w:ascii="Times New Roman" w:hAnsi="Times New Roman" w:cs="Times New Roman"/>
        </w:rPr>
        <w:t>Описываются риски, связанные с географическими особенностями страны (стран) и региона, в которых эмитент зарегистрирован в качестве налогоплательщика и (или) осуществляет основную деятельность, в том числе с повышенной опасностью стихийных бедствий, возможным прекращением транспортного сообщения в связи с удаленностью и (или) труднодоступностью и тому подобным.</w:t>
      </w:r>
    </w:p>
    <w:p w:rsidR="000647F2" w:rsidRDefault="000647F2" w:rsidP="000647F2">
      <w:pPr>
        <w:widowControl/>
        <w:spacing w:before="0" w:after="0"/>
        <w:ind w:firstLine="709"/>
        <w:jc w:val="both"/>
        <w:rPr>
          <w:b/>
          <w:i/>
          <w:sz w:val="22"/>
          <w:szCs w:val="24"/>
        </w:rPr>
      </w:pPr>
    </w:p>
    <w:p w:rsidR="000647F2" w:rsidRDefault="000647F2" w:rsidP="000647F2">
      <w:pPr>
        <w:widowControl/>
        <w:spacing w:before="0" w:after="0"/>
        <w:ind w:firstLine="567"/>
        <w:jc w:val="both"/>
        <w:rPr>
          <w:rFonts w:ascii="Arial" w:hAnsi="Arial" w:cs="Arial"/>
          <w:b/>
          <w:i/>
        </w:rPr>
      </w:pPr>
      <w:r>
        <w:rPr>
          <w:rFonts w:ascii="Arial" w:hAnsi="Arial" w:cs="Arial"/>
          <w:b/>
          <w:i/>
        </w:rPr>
        <w:t>Регион, в котором Эмитент зарегистрирован в качестве налогоплательщика и осуществляет основную деятельность, не характеризуется повышенной опасностью стихийных бедствий, не является удаленным и труднодоступным. Влияние указанных рисков на деятельность Эмитента применительно к Российской Федерации и региону его деятельности оценивается как несущественное.</w:t>
      </w:r>
    </w:p>
    <w:p w:rsidR="000647F2" w:rsidRDefault="000647F2" w:rsidP="000647F2">
      <w:pPr>
        <w:pStyle w:val="ConsPlusNormal"/>
        <w:jc w:val="both"/>
        <w:rPr>
          <w:rFonts w:ascii="Times New Roman" w:hAnsi="Times New Roman" w:cs="Times New Roman"/>
        </w:rPr>
      </w:pPr>
    </w:p>
    <w:p w:rsidR="000647F2" w:rsidRPr="002E4F70" w:rsidRDefault="000647F2" w:rsidP="000647F2">
      <w:pPr>
        <w:pStyle w:val="ConsPlusNormal"/>
        <w:ind w:firstLine="540"/>
        <w:jc w:val="both"/>
        <w:outlineLvl w:val="2"/>
        <w:rPr>
          <w:b/>
          <w:sz w:val="26"/>
          <w:szCs w:val="26"/>
        </w:rPr>
      </w:pPr>
      <w:bookmarkStart w:id="25" w:name="_Toc448251130"/>
      <w:r w:rsidRPr="002E4F70">
        <w:rPr>
          <w:b/>
          <w:sz w:val="26"/>
          <w:szCs w:val="26"/>
        </w:rPr>
        <w:t>2.5.3. Финансовые риски</w:t>
      </w:r>
      <w:bookmarkEnd w:id="25"/>
    </w:p>
    <w:p w:rsidR="000647F2" w:rsidRDefault="000647F2" w:rsidP="000647F2">
      <w:pPr>
        <w:pStyle w:val="ConsPlusNormal"/>
        <w:ind w:firstLine="540"/>
        <w:jc w:val="both"/>
        <w:rPr>
          <w:rFonts w:ascii="Times New Roman" w:hAnsi="Times New Roman" w:cs="Times New Roman"/>
        </w:rPr>
      </w:pPr>
    </w:p>
    <w:p w:rsidR="000647F2" w:rsidRDefault="000647F2" w:rsidP="000647F2">
      <w:pPr>
        <w:widowControl/>
        <w:spacing w:before="0" w:after="0"/>
        <w:ind w:firstLine="540"/>
        <w:jc w:val="both"/>
        <w:rPr>
          <w:rFonts w:eastAsiaTheme="minorHAnsi"/>
          <w:lang w:eastAsia="en-US"/>
        </w:rPr>
      </w:pPr>
      <w:r>
        <w:rPr>
          <w:rFonts w:eastAsiaTheme="minorHAnsi"/>
          <w:lang w:eastAsia="en-US"/>
        </w:rPr>
        <w:t>Описывается подверженность эмитента рискам, связанным с изменением процентных ставок, курса обмена иностранных валют, в связи с деятельностью эмитента либо в связи с хеджированием, осуществляемым эмитентом в целях снижения неблагоприятных последствий влияния вышеуказанных рисков.</w:t>
      </w:r>
    </w:p>
    <w:p w:rsidR="00D8273E" w:rsidRDefault="00D8273E" w:rsidP="00D8273E">
      <w:pPr>
        <w:widowControl/>
        <w:spacing w:before="0" w:after="0"/>
        <w:ind w:firstLine="567"/>
        <w:jc w:val="both"/>
        <w:rPr>
          <w:rFonts w:ascii="Arial" w:hAnsi="Arial" w:cs="Arial"/>
          <w:b/>
          <w:i/>
        </w:rPr>
      </w:pPr>
      <w:r>
        <w:rPr>
          <w:rFonts w:ascii="Arial" w:hAnsi="Arial" w:cs="Arial"/>
          <w:b/>
          <w:i/>
        </w:rPr>
        <w:t>В составе кредитного портфеля Эмитент рассматривает риск, связанный с ростом процентных ставок, применительно только к банковским кредитам, номинированным в рублях РФ, в силу следующих факторов:</w:t>
      </w:r>
    </w:p>
    <w:p w:rsidR="00D8273E" w:rsidRDefault="00D8273E" w:rsidP="00C85537">
      <w:pPr>
        <w:pStyle w:val="a9"/>
        <w:widowControl/>
        <w:numPr>
          <w:ilvl w:val="0"/>
          <w:numId w:val="2"/>
        </w:numPr>
        <w:spacing w:before="0" w:after="0"/>
        <w:ind w:left="0" w:firstLine="567"/>
        <w:jc w:val="both"/>
        <w:rPr>
          <w:rFonts w:ascii="Arial" w:hAnsi="Arial" w:cs="Arial"/>
          <w:b/>
          <w:i/>
        </w:rPr>
      </w:pPr>
      <w:r>
        <w:rPr>
          <w:rFonts w:ascii="Arial" w:hAnsi="Arial" w:cs="Arial"/>
          <w:b/>
          <w:i/>
        </w:rPr>
        <w:t xml:space="preserve">процентная ставка по облигационному займу Эмитента серии 02 была зафиксирована при его размещении на весь период обращения ценных бумаг в размере 12,9% годовых </w:t>
      </w:r>
      <w:r w:rsidRPr="00D903D6">
        <w:rPr>
          <w:rFonts w:ascii="Arial" w:hAnsi="Arial" w:cs="Arial"/>
          <w:b/>
          <w:i/>
        </w:rPr>
        <w:t>(</w:t>
      </w:r>
      <w:r w:rsidRPr="00FE2534">
        <w:rPr>
          <w:rFonts w:ascii="Arial" w:hAnsi="Arial" w:cs="Arial"/>
          <w:b/>
          <w:i/>
        </w:rPr>
        <w:t>По состоянию на дату утверждения настоящего Проспекта задолженность по облигационному займу составила более 30% от общего объёма ссудной задолженности Эмитента.</w:t>
      </w:r>
      <w:r w:rsidRPr="00D903D6">
        <w:rPr>
          <w:rFonts w:ascii="Arial" w:hAnsi="Arial" w:cs="Arial"/>
          <w:b/>
          <w:i/>
        </w:rPr>
        <w:t>)</w:t>
      </w:r>
      <w:r>
        <w:rPr>
          <w:rFonts w:ascii="Arial" w:hAnsi="Arial" w:cs="Arial"/>
          <w:b/>
          <w:i/>
        </w:rPr>
        <w:t>;</w:t>
      </w:r>
    </w:p>
    <w:p w:rsidR="00D8273E" w:rsidRDefault="00D8273E" w:rsidP="00C85537">
      <w:pPr>
        <w:pStyle w:val="a9"/>
        <w:widowControl/>
        <w:numPr>
          <w:ilvl w:val="0"/>
          <w:numId w:val="2"/>
        </w:numPr>
        <w:spacing w:before="0" w:after="0"/>
        <w:ind w:left="0" w:firstLine="567"/>
        <w:jc w:val="both"/>
        <w:rPr>
          <w:rFonts w:ascii="Arial" w:hAnsi="Arial" w:cs="Arial"/>
          <w:b/>
          <w:i/>
        </w:rPr>
      </w:pPr>
      <w:r>
        <w:rPr>
          <w:rFonts w:ascii="Arial" w:hAnsi="Arial" w:cs="Arial"/>
          <w:b/>
          <w:i/>
        </w:rPr>
        <w:t xml:space="preserve">условия кредитных соглашений не запрещают банкам пересматривать процентную ставку, в частности, в случае существенного ухудшения ситуации на финансовом рынке. </w:t>
      </w:r>
    </w:p>
    <w:p w:rsidR="00D8273E" w:rsidRDefault="00D8273E" w:rsidP="00D8273E">
      <w:pPr>
        <w:widowControl/>
        <w:spacing w:before="0" w:after="0"/>
        <w:ind w:firstLine="567"/>
        <w:jc w:val="both"/>
        <w:rPr>
          <w:rFonts w:ascii="Arial" w:hAnsi="Arial" w:cs="Arial"/>
          <w:b/>
          <w:i/>
        </w:rPr>
      </w:pPr>
      <w:r>
        <w:rPr>
          <w:rFonts w:ascii="Arial" w:hAnsi="Arial" w:cs="Arial"/>
          <w:b/>
          <w:i/>
        </w:rPr>
        <w:t>Подверженность Эмитента рискам, связанным с изменением процентных ставок по кредитам, носит ограниченный характер, с учетом как объема банковских кредитов, так и кредитных качеств Эмитента, среди которых:</w:t>
      </w:r>
    </w:p>
    <w:p w:rsidR="00D8273E" w:rsidRDefault="00D8273E" w:rsidP="00C85537">
      <w:pPr>
        <w:pStyle w:val="a9"/>
        <w:widowControl/>
        <w:numPr>
          <w:ilvl w:val="0"/>
          <w:numId w:val="2"/>
        </w:numPr>
        <w:spacing w:before="0" w:after="0"/>
        <w:ind w:left="0" w:firstLine="567"/>
        <w:jc w:val="both"/>
        <w:rPr>
          <w:rFonts w:ascii="Arial" w:hAnsi="Arial" w:cs="Arial"/>
          <w:b/>
          <w:i/>
        </w:rPr>
      </w:pPr>
      <w:r>
        <w:rPr>
          <w:rFonts w:ascii="Arial" w:hAnsi="Arial" w:cs="Arial"/>
          <w:b/>
          <w:i/>
        </w:rPr>
        <w:t>безупречная кредитная история Эмитента;</w:t>
      </w:r>
    </w:p>
    <w:p w:rsidR="00D8273E" w:rsidRDefault="00D8273E" w:rsidP="00C85537">
      <w:pPr>
        <w:pStyle w:val="a9"/>
        <w:widowControl/>
        <w:numPr>
          <w:ilvl w:val="0"/>
          <w:numId w:val="2"/>
        </w:numPr>
        <w:spacing w:before="0" w:after="0"/>
        <w:ind w:left="0" w:firstLine="567"/>
        <w:jc w:val="both"/>
        <w:rPr>
          <w:rFonts w:ascii="Arial" w:hAnsi="Arial" w:cs="Arial"/>
          <w:b/>
          <w:i/>
        </w:rPr>
      </w:pPr>
      <w:r>
        <w:rPr>
          <w:rFonts w:ascii="Arial" w:hAnsi="Arial" w:cs="Arial"/>
          <w:b/>
          <w:i/>
        </w:rPr>
        <w:t xml:space="preserve">диверсифицированный и сбалансированный кредитный портфель; </w:t>
      </w:r>
    </w:p>
    <w:p w:rsidR="00DC53F1" w:rsidRPr="00DC53F1" w:rsidRDefault="00D8273E" w:rsidP="00C85537">
      <w:pPr>
        <w:pStyle w:val="a9"/>
        <w:widowControl/>
        <w:numPr>
          <w:ilvl w:val="0"/>
          <w:numId w:val="2"/>
        </w:numPr>
        <w:spacing w:before="0" w:after="0"/>
        <w:ind w:left="0" w:firstLine="567"/>
        <w:jc w:val="both"/>
        <w:rPr>
          <w:rFonts w:ascii="Arial" w:hAnsi="Arial" w:cs="Arial"/>
          <w:b/>
          <w:i/>
        </w:rPr>
      </w:pPr>
      <w:r w:rsidRPr="00DC53F1">
        <w:rPr>
          <w:rFonts w:ascii="Arial" w:hAnsi="Arial" w:cs="Arial"/>
          <w:b/>
          <w:i/>
        </w:rPr>
        <w:t xml:space="preserve">долгосрочный кредитный рейтинг Эмитента на уровне </w:t>
      </w:r>
      <w:r w:rsidR="003903BA" w:rsidRPr="00DC53F1">
        <w:rPr>
          <w:rFonts w:ascii="Arial" w:hAnsi="Arial" w:cs="Arial"/>
          <w:b/>
          <w:i/>
        </w:rPr>
        <w:t>«</w:t>
      </w:r>
      <w:r w:rsidRPr="00DC53F1">
        <w:rPr>
          <w:rFonts w:ascii="Arial" w:hAnsi="Arial" w:cs="Arial"/>
          <w:b/>
          <w:i/>
        </w:rPr>
        <w:t>B+</w:t>
      </w:r>
      <w:r w:rsidR="003903BA" w:rsidRPr="00DC53F1">
        <w:rPr>
          <w:rFonts w:ascii="Arial" w:hAnsi="Arial" w:cs="Arial"/>
          <w:b/>
          <w:i/>
        </w:rPr>
        <w:t>»</w:t>
      </w:r>
      <w:r w:rsidRPr="00DC53F1">
        <w:rPr>
          <w:rFonts w:ascii="Arial" w:hAnsi="Arial" w:cs="Arial"/>
          <w:b/>
          <w:i/>
        </w:rPr>
        <w:t xml:space="preserve"> от международного рейтингового агентства Standard&amp;Poor`s, что является одним из лучших показателей в строительной от</w:t>
      </w:r>
      <w:r w:rsidR="00DC53F1" w:rsidRPr="00DC53F1">
        <w:rPr>
          <w:rFonts w:ascii="Arial" w:hAnsi="Arial" w:cs="Arial"/>
          <w:b/>
          <w:i/>
        </w:rPr>
        <w:t xml:space="preserve">расли среди российских компаний; рейтинг кредитоспособности (долгосрочной кредитоспособности) на уровне </w:t>
      </w:r>
      <w:r w:rsidR="0088290B">
        <w:rPr>
          <w:rFonts w:ascii="Arial" w:hAnsi="Arial" w:cs="Arial"/>
          <w:b/>
          <w:i/>
        </w:rPr>
        <w:t>«</w:t>
      </w:r>
      <w:r w:rsidR="00DC53F1" w:rsidRPr="00DC53F1">
        <w:rPr>
          <w:rFonts w:ascii="Arial" w:hAnsi="Arial" w:cs="Arial"/>
          <w:b/>
          <w:i/>
        </w:rPr>
        <w:t>А+</w:t>
      </w:r>
      <w:r w:rsidR="0088290B">
        <w:rPr>
          <w:rFonts w:ascii="Arial" w:hAnsi="Arial" w:cs="Arial"/>
          <w:b/>
          <w:i/>
        </w:rPr>
        <w:t>»</w:t>
      </w:r>
      <w:r w:rsidR="00DC53F1" w:rsidRPr="00DC53F1">
        <w:rPr>
          <w:rFonts w:ascii="Arial" w:hAnsi="Arial" w:cs="Arial"/>
          <w:b/>
          <w:i/>
        </w:rPr>
        <w:t xml:space="preserve"> от рейтингов</w:t>
      </w:r>
      <w:r w:rsidR="0088290B">
        <w:rPr>
          <w:rFonts w:ascii="Arial" w:hAnsi="Arial" w:cs="Arial"/>
          <w:b/>
          <w:i/>
        </w:rPr>
        <w:t>ого</w:t>
      </w:r>
      <w:r w:rsidR="00DC53F1" w:rsidRPr="00DC53F1">
        <w:rPr>
          <w:rFonts w:ascii="Arial" w:hAnsi="Arial" w:cs="Arial"/>
          <w:b/>
          <w:i/>
        </w:rPr>
        <w:t xml:space="preserve"> агентств</w:t>
      </w:r>
      <w:r w:rsidR="0088290B">
        <w:rPr>
          <w:rFonts w:ascii="Arial" w:hAnsi="Arial" w:cs="Arial"/>
          <w:b/>
          <w:i/>
        </w:rPr>
        <w:t>а</w:t>
      </w:r>
      <w:r w:rsidR="00DC53F1" w:rsidRPr="00DC53F1">
        <w:rPr>
          <w:rFonts w:ascii="Arial" w:hAnsi="Arial" w:cs="Arial"/>
          <w:b/>
          <w:i/>
        </w:rPr>
        <w:t xml:space="preserve"> </w:t>
      </w:r>
      <w:r w:rsidR="00DC53F1" w:rsidRPr="00DC53F1">
        <w:rPr>
          <w:rFonts w:ascii="Arial" w:hAnsi="Arial" w:cs="Arial"/>
          <w:b/>
          <w:i/>
          <w:lang w:val="en-US"/>
        </w:rPr>
        <w:t>RAEX</w:t>
      </w:r>
      <w:r w:rsidR="00DC53F1" w:rsidRPr="00DC53F1">
        <w:rPr>
          <w:rFonts w:ascii="Arial" w:hAnsi="Arial" w:cs="Arial"/>
          <w:b/>
          <w:i/>
        </w:rPr>
        <w:t xml:space="preserve"> (Эксперт РА) </w:t>
      </w:r>
      <w:r w:rsidR="0088290B">
        <w:rPr>
          <w:rFonts w:ascii="Arial" w:hAnsi="Arial" w:cs="Arial"/>
          <w:b/>
          <w:i/>
        </w:rPr>
        <w:t>(</w:t>
      </w:r>
      <w:r w:rsidR="00DC53F1" w:rsidRPr="00DC53F1">
        <w:rPr>
          <w:rFonts w:ascii="Arial" w:hAnsi="Arial" w:cs="Arial"/>
          <w:b/>
          <w:i/>
        </w:rPr>
        <w:t>«Очень высокий уровень кредитоспособности», первый подуровень. Прогноз по рейтингу – «стабильный»</w:t>
      </w:r>
      <w:r w:rsidR="0088290B">
        <w:rPr>
          <w:rFonts w:ascii="Arial" w:hAnsi="Arial" w:cs="Arial"/>
          <w:b/>
          <w:i/>
        </w:rPr>
        <w:t>)</w:t>
      </w:r>
      <w:r w:rsidR="00DC53F1">
        <w:rPr>
          <w:rFonts w:ascii="Arial" w:hAnsi="Arial" w:cs="Arial"/>
          <w:b/>
          <w:i/>
        </w:rPr>
        <w:t>.</w:t>
      </w:r>
    </w:p>
    <w:p w:rsidR="00D8273E" w:rsidRDefault="00D8273E" w:rsidP="00D8273E">
      <w:pPr>
        <w:pStyle w:val="ConsPlusNormal"/>
        <w:ind w:firstLine="540"/>
        <w:jc w:val="both"/>
        <w:rPr>
          <w:b/>
          <w:bCs/>
          <w:i/>
          <w:iCs/>
        </w:rPr>
      </w:pPr>
      <w:r>
        <w:rPr>
          <w:b/>
          <w:bCs/>
          <w:i/>
          <w:iCs/>
        </w:rPr>
        <w:t>Эмитент осуществляет основную деятельность на территории Российской Федерации и мало подвержен риску изменения курсов обмена иностранных валют.</w:t>
      </w:r>
    </w:p>
    <w:p w:rsidR="00D8273E" w:rsidRDefault="00D8273E" w:rsidP="00D8273E">
      <w:pPr>
        <w:pStyle w:val="ConsPlusNormal"/>
        <w:ind w:firstLine="540"/>
        <w:jc w:val="both"/>
        <w:rPr>
          <w:rFonts w:ascii="Times New Roman" w:hAnsi="Times New Roman" w:cs="Times New Roman"/>
        </w:rPr>
      </w:pPr>
      <w:r>
        <w:rPr>
          <w:b/>
          <w:bCs/>
          <w:i/>
          <w:iCs/>
        </w:rPr>
        <w:t>Хеджирование в целях снижения неблагоприятных последствий изменений процентных ставок, курса обмена иностранных валют Эмитент не осуществляет.</w:t>
      </w:r>
    </w:p>
    <w:p w:rsidR="00D8273E" w:rsidRDefault="00D8273E" w:rsidP="00D8273E">
      <w:pPr>
        <w:widowControl/>
        <w:spacing w:before="0" w:after="0"/>
        <w:ind w:firstLine="567"/>
        <w:jc w:val="both"/>
        <w:rPr>
          <w:rFonts w:ascii="Arial" w:hAnsi="Arial" w:cs="Arial"/>
          <w:b/>
          <w:i/>
        </w:rPr>
      </w:pPr>
      <w:r w:rsidRPr="00EA5AEC">
        <w:rPr>
          <w:rFonts w:ascii="Arial" w:hAnsi="Arial" w:cs="Arial"/>
          <w:b/>
          <w:i/>
        </w:rPr>
        <w:t>В целях снижения неблагоприятных последствий влияния вышеуказанных рисков</w:t>
      </w:r>
      <w:r>
        <w:rPr>
          <w:rFonts w:ascii="Arial" w:hAnsi="Arial" w:cs="Arial"/>
          <w:b/>
          <w:i/>
        </w:rPr>
        <w:t xml:space="preserve"> Эмитент, в соответствии со своей бизнес-моделью, осуществляет финансирование строительства, за счет средств, привлеченных от покупателей на стадии строительства, используя при этом гибкую систему скидок и рассрочек, что позволяет значительно снизить зависимость от других источников внешнего финансирования. В связи с этим, уже заключенные договоры по приобретению недвижимости с использованием системы рассрочек будут обеспечивать значительные денежные поступления для осуществления строительства Эмитентом.</w:t>
      </w:r>
    </w:p>
    <w:p w:rsidR="00D8273E" w:rsidRDefault="00D8273E" w:rsidP="00D8273E">
      <w:pPr>
        <w:widowControl/>
        <w:spacing w:before="0" w:after="0"/>
        <w:ind w:firstLine="567"/>
        <w:jc w:val="both"/>
        <w:rPr>
          <w:rFonts w:ascii="Arial" w:hAnsi="Arial" w:cs="Arial"/>
          <w:b/>
          <w:i/>
        </w:rPr>
      </w:pPr>
      <w:r>
        <w:rPr>
          <w:rFonts w:ascii="Arial" w:hAnsi="Arial" w:cs="Arial"/>
          <w:b/>
          <w:i/>
        </w:rPr>
        <w:t>Отрицательное влияние изменения процентных ставок на деятельность Эмитента может быть связано с необходимостью отвлечения большего объема денежных средств для выплаты процентов.</w:t>
      </w:r>
    </w:p>
    <w:p w:rsidR="00D8273E" w:rsidRDefault="00D8273E" w:rsidP="00D8273E">
      <w:pPr>
        <w:widowControl/>
        <w:spacing w:before="0" w:after="0"/>
        <w:ind w:firstLine="567"/>
        <w:jc w:val="both"/>
        <w:rPr>
          <w:rFonts w:ascii="Arial" w:hAnsi="Arial" w:cs="Arial"/>
          <w:b/>
          <w:i/>
        </w:rPr>
      </w:pPr>
      <w:r>
        <w:rPr>
          <w:rFonts w:ascii="Arial" w:hAnsi="Arial" w:cs="Arial"/>
          <w:b/>
          <w:i/>
        </w:rPr>
        <w:t>В случае значительного роста процентных ставок по банковским кредитам Эмитентом могут быть применены:</w:t>
      </w:r>
    </w:p>
    <w:p w:rsidR="00D8273E" w:rsidRDefault="00D8273E" w:rsidP="00C85537">
      <w:pPr>
        <w:pStyle w:val="a9"/>
        <w:widowControl/>
        <w:numPr>
          <w:ilvl w:val="0"/>
          <w:numId w:val="2"/>
        </w:numPr>
        <w:spacing w:before="0" w:after="0"/>
        <w:ind w:left="0" w:firstLine="567"/>
        <w:jc w:val="both"/>
        <w:rPr>
          <w:rFonts w:ascii="Arial" w:hAnsi="Arial" w:cs="Arial"/>
          <w:b/>
          <w:i/>
        </w:rPr>
      </w:pPr>
      <w:r>
        <w:rPr>
          <w:rFonts w:ascii="Arial" w:hAnsi="Arial" w:cs="Arial"/>
          <w:b/>
          <w:i/>
        </w:rPr>
        <w:t>досрочное полное или частичное погашение отдельных банковских кредитов;</w:t>
      </w:r>
    </w:p>
    <w:p w:rsidR="00D8273E" w:rsidRDefault="00D8273E" w:rsidP="00C85537">
      <w:pPr>
        <w:pStyle w:val="a9"/>
        <w:widowControl/>
        <w:numPr>
          <w:ilvl w:val="0"/>
          <w:numId w:val="2"/>
        </w:numPr>
        <w:spacing w:before="0" w:after="0"/>
        <w:ind w:left="0" w:firstLine="567"/>
        <w:jc w:val="both"/>
        <w:rPr>
          <w:rFonts w:ascii="Arial" w:hAnsi="Arial" w:cs="Arial"/>
          <w:b/>
          <w:i/>
        </w:rPr>
      </w:pPr>
      <w:r>
        <w:rPr>
          <w:rFonts w:ascii="Arial" w:hAnsi="Arial" w:cs="Arial"/>
          <w:b/>
          <w:i/>
        </w:rPr>
        <w:t>сокращение объемов заимствования и пересмотр источников финансирования деятельности Эмитента;</w:t>
      </w:r>
    </w:p>
    <w:p w:rsidR="00D8273E" w:rsidRDefault="00D8273E" w:rsidP="00C85537">
      <w:pPr>
        <w:pStyle w:val="a9"/>
        <w:widowControl/>
        <w:numPr>
          <w:ilvl w:val="0"/>
          <w:numId w:val="2"/>
        </w:numPr>
        <w:spacing w:before="0" w:after="0"/>
        <w:ind w:left="0" w:firstLine="567"/>
        <w:jc w:val="both"/>
        <w:rPr>
          <w:rFonts w:ascii="Arial" w:hAnsi="Arial" w:cs="Arial"/>
          <w:b/>
          <w:i/>
        </w:rPr>
      </w:pPr>
      <w:r>
        <w:rPr>
          <w:rFonts w:ascii="Arial" w:hAnsi="Arial" w:cs="Arial"/>
          <w:b/>
          <w:i/>
        </w:rPr>
        <w:t>проведение переговоров с банками-кредиторами о внесение изменений в кредитные договоры, согласно которым в случае снижения ключевой ставки процентные ставки будут соразмерно уменьшены;</w:t>
      </w:r>
    </w:p>
    <w:p w:rsidR="00D8273E" w:rsidRDefault="00D8273E" w:rsidP="00C85537">
      <w:pPr>
        <w:pStyle w:val="a9"/>
        <w:widowControl/>
        <w:numPr>
          <w:ilvl w:val="0"/>
          <w:numId w:val="2"/>
        </w:numPr>
        <w:spacing w:before="0" w:after="0"/>
        <w:ind w:left="0" w:firstLine="567"/>
        <w:jc w:val="both"/>
        <w:rPr>
          <w:rFonts w:ascii="Arial" w:hAnsi="Arial" w:cs="Arial"/>
          <w:b/>
          <w:i/>
        </w:rPr>
      </w:pPr>
      <w:r>
        <w:rPr>
          <w:rFonts w:ascii="Arial" w:hAnsi="Arial" w:cs="Arial"/>
          <w:b/>
          <w:i/>
        </w:rPr>
        <w:t>увеличение цены продукции Эмитента.</w:t>
      </w:r>
    </w:p>
    <w:p w:rsidR="000647F2" w:rsidRDefault="000647F2" w:rsidP="000647F2">
      <w:pPr>
        <w:pStyle w:val="ConsPlusNormal"/>
        <w:ind w:firstLine="540"/>
        <w:jc w:val="both"/>
        <w:rPr>
          <w:rFonts w:ascii="Times New Roman" w:hAnsi="Times New Roman" w:cs="Times New Roman"/>
        </w:rPr>
      </w:pPr>
    </w:p>
    <w:p w:rsidR="000647F2" w:rsidRDefault="000647F2" w:rsidP="000647F2">
      <w:pPr>
        <w:pStyle w:val="ConsPlusNormal"/>
        <w:ind w:firstLine="540"/>
        <w:jc w:val="both"/>
        <w:rPr>
          <w:rFonts w:ascii="Times New Roman" w:hAnsi="Times New Roman" w:cs="Times New Roman"/>
        </w:rPr>
      </w:pPr>
      <w:r>
        <w:rPr>
          <w:rFonts w:ascii="Times New Roman" w:hAnsi="Times New Roman" w:cs="Times New Roman"/>
        </w:rPr>
        <w:t>Описываются подверженность финансового состояния эмитента, его ликвидности, источников финансирования, результатов деятельности и тому подобного изменению валютного курса (валютные риски).</w:t>
      </w:r>
    </w:p>
    <w:p w:rsidR="00D8273E" w:rsidRDefault="00D8273E" w:rsidP="00D8273E">
      <w:pPr>
        <w:widowControl/>
        <w:spacing w:before="0" w:after="0"/>
        <w:ind w:firstLine="567"/>
        <w:jc w:val="both"/>
        <w:rPr>
          <w:rFonts w:ascii="Arial" w:hAnsi="Arial" w:cs="Arial"/>
          <w:b/>
          <w:i/>
        </w:rPr>
      </w:pPr>
      <w:r>
        <w:rPr>
          <w:rFonts w:ascii="Arial" w:hAnsi="Arial" w:cs="Arial"/>
          <w:b/>
          <w:i/>
        </w:rPr>
        <w:t>Эмитент оценивает прямое влияние валютного риска на деятельность Эмитента как ограниченное по следующим причинам:</w:t>
      </w:r>
    </w:p>
    <w:p w:rsidR="00D8273E" w:rsidRDefault="00D8273E" w:rsidP="00C85537">
      <w:pPr>
        <w:pStyle w:val="a9"/>
        <w:widowControl/>
        <w:numPr>
          <w:ilvl w:val="0"/>
          <w:numId w:val="2"/>
        </w:numPr>
        <w:spacing w:before="0" w:after="0"/>
        <w:ind w:left="0" w:firstLine="567"/>
        <w:jc w:val="both"/>
        <w:rPr>
          <w:rFonts w:ascii="Arial" w:hAnsi="Arial" w:cs="Arial"/>
          <w:b/>
          <w:i/>
        </w:rPr>
      </w:pPr>
      <w:r>
        <w:rPr>
          <w:rFonts w:ascii="Arial" w:hAnsi="Arial" w:cs="Arial"/>
          <w:b/>
          <w:i/>
        </w:rPr>
        <w:t>Эмитент осуществляет свою деятельность на территории Российской Федерации и не участвует в операциях, связанных с экспортом. Доля импортных материалов в структуре себестоимости Эмитента незначительная</w:t>
      </w:r>
      <w:r w:rsidR="00054D0B">
        <w:rPr>
          <w:rFonts w:ascii="Arial" w:hAnsi="Arial" w:cs="Arial"/>
          <w:b/>
          <w:i/>
        </w:rPr>
        <w:t>;</w:t>
      </w:r>
    </w:p>
    <w:p w:rsidR="00D8273E" w:rsidRDefault="00D8273E" w:rsidP="00C85537">
      <w:pPr>
        <w:pStyle w:val="a9"/>
        <w:widowControl/>
        <w:numPr>
          <w:ilvl w:val="0"/>
          <w:numId w:val="2"/>
        </w:numPr>
        <w:spacing w:before="0" w:after="0"/>
        <w:ind w:left="0" w:firstLine="567"/>
        <w:jc w:val="both"/>
        <w:rPr>
          <w:rFonts w:ascii="Arial" w:hAnsi="Arial" w:cs="Arial"/>
          <w:b/>
          <w:i/>
        </w:rPr>
      </w:pPr>
      <w:r>
        <w:rPr>
          <w:rFonts w:ascii="Arial" w:hAnsi="Arial" w:cs="Arial"/>
          <w:b/>
          <w:i/>
        </w:rPr>
        <w:t>В составе ссудной задолженности Эмитента отсутствуют обязательства, номинированные в иностранной валюте: 30.11.2015 Эмитентом в срок и в полном объеме было погашено последнее заимствование, номинированное в иностранной валюте</w:t>
      </w:r>
      <w:r w:rsidR="00054D0B">
        <w:rPr>
          <w:rFonts w:ascii="Arial" w:hAnsi="Arial" w:cs="Arial"/>
          <w:b/>
          <w:i/>
        </w:rPr>
        <w:t>;</w:t>
      </w:r>
      <w:r>
        <w:rPr>
          <w:rFonts w:ascii="Arial" w:hAnsi="Arial" w:cs="Arial"/>
          <w:b/>
          <w:i/>
        </w:rPr>
        <w:t xml:space="preserve"> </w:t>
      </w:r>
    </w:p>
    <w:p w:rsidR="00D8273E" w:rsidRDefault="00D8273E" w:rsidP="00C85537">
      <w:pPr>
        <w:pStyle w:val="a9"/>
        <w:widowControl/>
        <w:numPr>
          <w:ilvl w:val="0"/>
          <w:numId w:val="2"/>
        </w:numPr>
        <w:spacing w:before="0" w:after="0"/>
        <w:ind w:left="0" w:firstLine="567"/>
        <w:jc w:val="both"/>
        <w:rPr>
          <w:rFonts w:ascii="Arial" w:hAnsi="Arial" w:cs="Arial"/>
          <w:b/>
          <w:i/>
        </w:rPr>
      </w:pPr>
      <w:r>
        <w:rPr>
          <w:rFonts w:ascii="Arial" w:hAnsi="Arial" w:cs="Arial"/>
          <w:b/>
          <w:i/>
        </w:rPr>
        <w:t>Объем обязательств Эмитента по иным договорам в иностранной валюте (например, договоры с рейтинговым агентством и т.п.) составляет несущественную величину;</w:t>
      </w:r>
    </w:p>
    <w:p w:rsidR="00D8273E" w:rsidRDefault="00D8273E" w:rsidP="00C85537">
      <w:pPr>
        <w:pStyle w:val="a9"/>
        <w:widowControl/>
        <w:numPr>
          <w:ilvl w:val="0"/>
          <w:numId w:val="2"/>
        </w:numPr>
        <w:spacing w:before="0" w:after="0"/>
        <w:ind w:left="0" w:firstLine="567"/>
        <w:jc w:val="both"/>
        <w:rPr>
          <w:rFonts w:ascii="Arial" w:hAnsi="Arial" w:cs="Arial"/>
          <w:b/>
          <w:i/>
        </w:rPr>
      </w:pPr>
      <w:r>
        <w:rPr>
          <w:rFonts w:ascii="Arial" w:hAnsi="Arial" w:cs="Arial"/>
          <w:b/>
          <w:i/>
        </w:rPr>
        <w:t xml:space="preserve">Эмитентом осуществляется постоянный контроль за ценой предложения продукции на первичном рынке недвижимости. </w:t>
      </w:r>
    </w:p>
    <w:p w:rsidR="00D8273E" w:rsidRDefault="00D8273E" w:rsidP="00D8273E">
      <w:pPr>
        <w:widowControl/>
        <w:spacing w:before="0" w:after="0"/>
        <w:ind w:firstLine="567"/>
        <w:jc w:val="both"/>
        <w:rPr>
          <w:rFonts w:ascii="Arial" w:hAnsi="Arial" w:cs="Arial"/>
          <w:b/>
          <w:i/>
        </w:rPr>
      </w:pPr>
      <w:r>
        <w:rPr>
          <w:rFonts w:ascii="Arial" w:hAnsi="Arial" w:cs="Arial"/>
          <w:b/>
          <w:i/>
        </w:rPr>
        <w:t xml:space="preserve">Учитывая вышеуказанные факторы, Эмитент не осуществляет операции хеджирования. </w:t>
      </w:r>
    </w:p>
    <w:p w:rsidR="00D8273E" w:rsidRDefault="00D8273E" w:rsidP="00D8273E">
      <w:pPr>
        <w:widowControl/>
        <w:spacing w:before="0" w:after="0"/>
        <w:ind w:firstLine="567"/>
        <w:jc w:val="both"/>
        <w:rPr>
          <w:rFonts w:ascii="Arial" w:hAnsi="Arial" w:cs="Arial"/>
          <w:b/>
          <w:i/>
        </w:rPr>
      </w:pPr>
      <w:r>
        <w:rPr>
          <w:rFonts w:ascii="Arial" w:hAnsi="Arial" w:cs="Arial"/>
          <w:b/>
          <w:i/>
        </w:rPr>
        <w:t>В течение 2013-2015 г</w:t>
      </w:r>
      <w:r w:rsidR="00C85537">
        <w:rPr>
          <w:rFonts w:ascii="Arial" w:hAnsi="Arial" w:cs="Arial"/>
          <w:b/>
          <w:i/>
        </w:rPr>
        <w:t>одов</w:t>
      </w:r>
      <w:r>
        <w:rPr>
          <w:rFonts w:ascii="Arial" w:hAnsi="Arial" w:cs="Arial"/>
          <w:b/>
          <w:i/>
        </w:rPr>
        <w:t xml:space="preserve"> Эмитентом последовательно проводились мероприятия по минимизации риска отрицательного влияния изменения валютного курса на финансовое состояние Эмитента:</w:t>
      </w:r>
    </w:p>
    <w:p w:rsidR="00D8273E" w:rsidRDefault="00D8273E" w:rsidP="00C85537">
      <w:pPr>
        <w:pStyle w:val="a9"/>
        <w:widowControl/>
        <w:numPr>
          <w:ilvl w:val="0"/>
          <w:numId w:val="2"/>
        </w:numPr>
        <w:spacing w:before="0" w:after="0"/>
        <w:ind w:left="0" w:firstLine="567"/>
        <w:jc w:val="both"/>
        <w:rPr>
          <w:rFonts w:ascii="Arial" w:hAnsi="Arial" w:cs="Arial"/>
          <w:b/>
          <w:i/>
        </w:rPr>
      </w:pPr>
      <w:r>
        <w:rPr>
          <w:rFonts w:ascii="Arial" w:hAnsi="Arial" w:cs="Arial"/>
          <w:b/>
          <w:i/>
        </w:rPr>
        <w:t>в феврале 2013 г</w:t>
      </w:r>
      <w:r w:rsidR="00C85537">
        <w:rPr>
          <w:rFonts w:ascii="Arial" w:hAnsi="Arial" w:cs="Arial"/>
          <w:b/>
          <w:i/>
        </w:rPr>
        <w:t>ода</w:t>
      </w:r>
      <w:r>
        <w:rPr>
          <w:rFonts w:ascii="Arial" w:hAnsi="Arial" w:cs="Arial"/>
          <w:b/>
          <w:i/>
        </w:rPr>
        <w:t xml:space="preserve"> был досрочно погашен кредит, первоначальным объёмом 14,2 млн</w:t>
      </w:r>
      <w:r w:rsidR="00C85537">
        <w:rPr>
          <w:rFonts w:ascii="Arial" w:hAnsi="Arial" w:cs="Arial"/>
          <w:b/>
          <w:i/>
        </w:rPr>
        <w:t>.</w:t>
      </w:r>
      <w:r>
        <w:rPr>
          <w:rFonts w:ascii="Arial" w:hAnsi="Arial" w:cs="Arial"/>
          <w:b/>
          <w:i/>
        </w:rPr>
        <w:t xml:space="preserve"> долларов США с плановым сроком погашения в мае 2014</w:t>
      </w:r>
      <w:r w:rsidR="00C85537">
        <w:rPr>
          <w:rFonts w:ascii="Arial" w:hAnsi="Arial" w:cs="Arial"/>
          <w:b/>
          <w:i/>
        </w:rPr>
        <w:t xml:space="preserve"> </w:t>
      </w:r>
      <w:r>
        <w:rPr>
          <w:rFonts w:ascii="Arial" w:hAnsi="Arial" w:cs="Arial"/>
          <w:b/>
          <w:i/>
        </w:rPr>
        <w:t>г</w:t>
      </w:r>
      <w:r w:rsidR="00C85537">
        <w:rPr>
          <w:rFonts w:ascii="Arial" w:hAnsi="Arial" w:cs="Arial"/>
          <w:b/>
          <w:i/>
        </w:rPr>
        <w:t>ода</w:t>
      </w:r>
      <w:r>
        <w:rPr>
          <w:rFonts w:ascii="Arial" w:hAnsi="Arial" w:cs="Arial"/>
          <w:b/>
          <w:i/>
        </w:rPr>
        <w:t>;</w:t>
      </w:r>
    </w:p>
    <w:p w:rsidR="00D8273E" w:rsidRDefault="00D8273E" w:rsidP="00C85537">
      <w:pPr>
        <w:pStyle w:val="a9"/>
        <w:widowControl/>
        <w:numPr>
          <w:ilvl w:val="0"/>
          <w:numId w:val="2"/>
        </w:numPr>
        <w:spacing w:before="0" w:after="0"/>
        <w:ind w:left="0" w:firstLine="567"/>
        <w:jc w:val="both"/>
        <w:rPr>
          <w:rFonts w:ascii="Arial" w:hAnsi="Arial" w:cs="Arial"/>
          <w:b/>
          <w:i/>
        </w:rPr>
      </w:pPr>
      <w:r>
        <w:rPr>
          <w:rFonts w:ascii="Arial" w:hAnsi="Arial" w:cs="Arial"/>
          <w:b/>
          <w:i/>
        </w:rPr>
        <w:t xml:space="preserve">в мае 2013 </w:t>
      </w:r>
      <w:r w:rsidR="00C85537">
        <w:rPr>
          <w:rFonts w:ascii="Arial" w:hAnsi="Arial" w:cs="Arial"/>
          <w:b/>
          <w:i/>
        </w:rPr>
        <w:t>года</w:t>
      </w:r>
      <w:r>
        <w:rPr>
          <w:rFonts w:ascii="Arial" w:hAnsi="Arial" w:cs="Arial"/>
          <w:b/>
          <w:i/>
        </w:rPr>
        <w:t xml:space="preserve"> в полном объеме были досрочно погашены обязательства, возникшие в результате выпуска еврооблигаций, первоначальным объемом 150 млн</w:t>
      </w:r>
      <w:r w:rsidR="00C85537">
        <w:rPr>
          <w:rFonts w:ascii="Arial" w:hAnsi="Arial" w:cs="Arial"/>
          <w:b/>
          <w:i/>
        </w:rPr>
        <w:t>.</w:t>
      </w:r>
      <w:r>
        <w:rPr>
          <w:rFonts w:ascii="Arial" w:hAnsi="Arial" w:cs="Arial"/>
          <w:b/>
          <w:i/>
        </w:rPr>
        <w:t xml:space="preserve"> долларов США c плановым сроком погашения последней части номинальной стоимости в ноябре 2015 </w:t>
      </w:r>
      <w:r w:rsidR="00C85537">
        <w:rPr>
          <w:rFonts w:ascii="Arial" w:hAnsi="Arial" w:cs="Arial"/>
          <w:b/>
          <w:i/>
        </w:rPr>
        <w:t>года</w:t>
      </w:r>
      <w:r>
        <w:rPr>
          <w:rFonts w:ascii="Arial" w:hAnsi="Arial" w:cs="Arial"/>
          <w:b/>
          <w:i/>
        </w:rPr>
        <w:t>;</w:t>
      </w:r>
    </w:p>
    <w:p w:rsidR="00D8273E" w:rsidRDefault="00D8273E" w:rsidP="00C85537">
      <w:pPr>
        <w:pStyle w:val="a9"/>
        <w:widowControl/>
        <w:numPr>
          <w:ilvl w:val="0"/>
          <w:numId w:val="2"/>
        </w:numPr>
        <w:spacing w:before="0" w:after="0"/>
        <w:ind w:left="0" w:firstLine="567"/>
        <w:jc w:val="both"/>
        <w:rPr>
          <w:rFonts w:ascii="Arial" w:hAnsi="Arial" w:cs="Arial"/>
          <w:b/>
          <w:i/>
        </w:rPr>
      </w:pPr>
      <w:r>
        <w:rPr>
          <w:rFonts w:ascii="Arial" w:hAnsi="Arial" w:cs="Arial"/>
          <w:b/>
          <w:i/>
        </w:rPr>
        <w:t>в марте 2014 г</w:t>
      </w:r>
      <w:r w:rsidR="00C85537">
        <w:rPr>
          <w:rFonts w:ascii="Arial" w:hAnsi="Arial" w:cs="Arial"/>
          <w:b/>
          <w:i/>
        </w:rPr>
        <w:t>ода</w:t>
      </w:r>
      <w:r>
        <w:rPr>
          <w:rFonts w:ascii="Arial" w:hAnsi="Arial" w:cs="Arial"/>
          <w:b/>
          <w:i/>
        </w:rPr>
        <w:t xml:space="preserve"> был досрочно погашен кредит, первоначальным объёмом 20 млн</w:t>
      </w:r>
      <w:r w:rsidR="00C85537">
        <w:rPr>
          <w:rFonts w:ascii="Arial" w:hAnsi="Arial" w:cs="Arial"/>
          <w:b/>
          <w:i/>
        </w:rPr>
        <w:t>.</w:t>
      </w:r>
      <w:r>
        <w:rPr>
          <w:rFonts w:ascii="Arial" w:hAnsi="Arial" w:cs="Arial"/>
          <w:b/>
          <w:i/>
        </w:rPr>
        <w:t xml:space="preserve"> долларов США с плановым сроком погашения в декабре 2015 г</w:t>
      </w:r>
      <w:r w:rsidR="00C85537">
        <w:rPr>
          <w:rFonts w:ascii="Arial" w:hAnsi="Arial" w:cs="Arial"/>
          <w:b/>
          <w:i/>
        </w:rPr>
        <w:t>ода</w:t>
      </w:r>
      <w:r>
        <w:rPr>
          <w:rFonts w:ascii="Arial" w:hAnsi="Arial" w:cs="Arial"/>
          <w:b/>
          <w:i/>
        </w:rPr>
        <w:t>;</w:t>
      </w:r>
    </w:p>
    <w:p w:rsidR="00D8273E" w:rsidRDefault="00D8273E" w:rsidP="00C85537">
      <w:pPr>
        <w:pStyle w:val="a9"/>
        <w:widowControl/>
        <w:numPr>
          <w:ilvl w:val="0"/>
          <w:numId w:val="2"/>
        </w:numPr>
        <w:spacing w:before="0" w:after="0"/>
        <w:ind w:left="0" w:firstLine="567"/>
        <w:jc w:val="both"/>
        <w:rPr>
          <w:rFonts w:ascii="Arial" w:hAnsi="Arial" w:cs="Arial"/>
          <w:b/>
          <w:i/>
        </w:rPr>
      </w:pPr>
      <w:r>
        <w:rPr>
          <w:rFonts w:ascii="Arial" w:hAnsi="Arial" w:cs="Arial"/>
          <w:b/>
          <w:i/>
        </w:rPr>
        <w:t>в апреле 2014 г</w:t>
      </w:r>
      <w:r w:rsidR="00C85537">
        <w:rPr>
          <w:rFonts w:ascii="Arial" w:hAnsi="Arial" w:cs="Arial"/>
          <w:b/>
          <w:i/>
        </w:rPr>
        <w:t>ода</w:t>
      </w:r>
      <w:r>
        <w:rPr>
          <w:rFonts w:ascii="Arial" w:hAnsi="Arial" w:cs="Arial"/>
          <w:b/>
          <w:i/>
        </w:rPr>
        <w:t>, наряду с очередными погашениями, осуществлено досрочное погашение кредита первоначальным объемом 39 млн. евро, по сделке международного финансирования строительства 2-ого корпуса проекта ЖК «Юбилейный квартал»;</w:t>
      </w:r>
    </w:p>
    <w:p w:rsidR="00D8273E" w:rsidRDefault="00D8273E" w:rsidP="00C85537">
      <w:pPr>
        <w:pStyle w:val="a9"/>
        <w:widowControl/>
        <w:numPr>
          <w:ilvl w:val="0"/>
          <w:numId w:val="2"/>
        </w:numPr>
        <w:spacing w:before="0" w:after="0"/>
        <w:ind w:left="0" w:firstLine="567"/>
        <w:jc w:val="both"/>
        <w:rPr>
          <w:rFonts w:ascii="Arial" w:hAnsi="Arial" w:cs="Arial"/>
          <w:b/>
          <w:i/>
        </w:rPr>
      </w:pPr>
      <w:r>
        <w:rPr>
          <w:rFonts w:ascii="Arial" w:hAnsi="Arial" w:cs="Arial"/>
          <w:b/>
          <w:i/>
        </w:rPr>
        <w:t xml:space="preserve">в ноябре 2015 </w:t>
      </w:r>
      <w:r w:rsidR="00C85537">
        <w:rPr>
          <w:rFonts w:ascii="Arial" w:hAnsi="Arial" w:cs="Arial"/>
          <w:b/>
          <w:i/>
        </w:rPr>
        <w:t>года</w:t>
      </w:r>
      <w:r>
        <w:rPr>
          <w:rFonts w:ascii="Arial" w:hAnsi="Arial" w:cs="Arial"/>
          <w:b/>
          <w:i/>
        </w:rPr>
        <w:t xml:space="preserve"> в полном объеме и в срок было осуществлено погашение кредита, первоначальным объемом 44 млн. евро, по сделке международного финансирования строительства двух корпусов ЖК «Ласточкино Гнездо». При этом для погашения данного кредита Эмитентом заблаговременно был сформирован депозит в евро;</w:t>
      </w:r>
    </w:p>
    <w:p w:rsidR="00D8273E" w:rsidRDefault="00D8273E" w:rsidP="00C85537">
      <w:pPr>
        <w:pStyle w:val="a9"/>
        <w:widowControl/>
        <w:numPr>
          <w:ilvl w:val="0"/>
          <w:numId w:val="2"/>
        </w:numPr>
        <w:spacing w:before="0" w:after="0"/>
        <w:ind w:left="0" w:firstLine="567"/>
        <w:jc w:val="both"/>
        <w:rPr>
          <w:rFonts w:ascii="Arial" w:hAnsi="Arial" w:cs="Arial"/>
          <w:b/>
          <w:i/>
        </w:rPr>
      </w:pPr>
      <w:r>
        <w:rPr>
          <w:rFonts w:ascii="Arial" w:hAnsi="Arial" w:cs="Arial"/>
          <w:b/>
          <w:i/>
        </w:rPr>
        <w:t>Эмитентом осуществлялось привлечение новых кредитов только в</w:t>
      </w:r>
      <w:r w:rsidR="00C85537">
        <w:rPr>
          <w:rFonts w:ascii="Arial" w:hAnsi="Arial" w:cs="Arial"/>
          <w:b/>
          <w:i/>
        </w:rPr>
        <w:t xml:space="preserve"> валюте Российской Федерации</w:t>
      </w:r>
      <w:r>
        <w:rPr>
          <w:rFonts w:ascii="Arial" w:hAnsi="Arial" w:cs="Arial"/>
          <w:b/>
          <w:i/>
        </w:rPr>
        <w:t>.</w:t>
      </w:r>
    </w:p>
    <w:p w:rsidR="00D8273E" w:rsidRDefault="00D8273E" w:rsidP="00D8273E">
      <w:pPr>
        <w:widowControl/>
        <w:spacing w:before="0" w:after="0"/>
        <w:ind w:firstLine="567"/>
        <w:jc w:val="both"/>
        <w:rPr>
          <w:rFonts w:ascii="Arial" w:hAnsi="Arial" w:cs="Arial"/>
          <w:b/>
          <w:i/>
        </w:rPr>
      </w:pPr>
      <w:r>
        <w:rPr>
          <w:rFonts w:ascii="Arial" w:hAnsi="Arial" w:cs="Arial"/>
          <w:b/>
          <w:i/>
        </w:rPr>
        <w:t xml:space="preserve">Таким образом, при реализации риска дальнейшей девальвации национальной валюты не возникает необходимость отвлечения средств в </w:t>
      </w:r>
      <w:r w:rsidR="00850C7F">
        <w:rPr>
          <w:rFonts w:ascii="Arial" w:hAnsi="Arial" w:cs="Arial"/>
          <w:b/>
          <w:i/>
        </w:rPr>
        <w:t>валюте Российской Федерации</w:t>
      </w:r>
      <w:r>
        <w:rPr>
          <w:rFonts w:ascii="Arial" w:hAnsi="Arial" w:cs="Arial"/>
          <w:b/>
          <w:i/>
        </w:rPr>
        <w:t xml:space="preserve"> для обслуживания валютных обязательств. </w:t>
      </w:r>
    </w:p>
    <w:p w:rsidR="000647F2" w:rsidRDefault="000647F2" w:rsidP="000647F2">
      <w:pPr>
        <w:pStyle w:val="ConsPlusNormal"/>
        <w:ind w:firstLine="540"/>
        <w:jc w:val="both"/>
        <w:rPr>
          <w:rFonts w:ascii="Times New Roman" w:hAnsi="Times New Roman" w:cs="Times New Roman"/>
        </w:rPr>
      </w:pPr>
    </w:p>
    <w:p w:rsidR="000647F2" w:rsidRDefault="000647F2" w:rsidP="000647F2">
      <w:pPr>
        <w:pStyle w:val="ConsPlusNormal"/>
        <w:ind w:firstLine="540"/>
        <w:jc w:val="both"/>
        <w:rPr>
          <w:rFonts w:ascii="Times New Roman" w:hAnsi="Times New Roman" w:cs="Times New Roman"/>
        </w:rPr>
      </w:pPr>
      <w:r>
        <w:rPr>
          <w:rFonts w:ascii="Times New Roman" w:hAnsi="Times New Roman" w:cs="Times New Roman"/>
        </w:rPr>
        <w:t>Указываются предполагаемые действия эмитента на случай отрицательного влияния изменения валютного курса и процентных ставок на деятельность эмитента.</w:t>
      </w:r>
    </w:p>
    <w:p w:rsidR="007A47A2" w:rsidRDefault="007A47A2" w:rsidP="000647F2">
      <w:pPr>
        <w:widowControl/>
        <w:spacing w:before="0" w:after="0"/>
        <w:ind w:firstLine="567"/>
        <w:jc w:val="both"/>
        <w:rPr>
          <w:rFonts w:ascii="Arial" w:hAnsi="Arial" w:cs="Arial"/>
          <w:b/>
          <w:i/>
        </w:rPr>
      </w:pPr>
    </w:p>
    <w:p w:rsidR="000647F2" w:rsidRDefault="000647F2" w:rsidP="000647F2">
      <w:pPr>
        <w:widowControl/>
        <w:spacing w:before="0" w:after="0"/>
        <w:ind w:firstLine="567"/>
        <w:jc w:val="both"/>
        <w:rPr>
          <w:rFonts w:ascii="Arial" w:hAnsi="Arial" w:cs="Arial"/>
          <w:b/>
          <w:i/>
        </w:rPr>
      </w:pPr>
      <w:r>
        <w:rPr>
          <w:rFonts w:ascii="Arial" w:hAnsi="Arial" w:cs="Arial"/>
          <w:b/>
          <w:i/>
        </w:rPr>
        <w:t>В случае критического изменения курса  рубля по отношению к иностранной валюте Эмитентом будут предприняты все возможные меры по минимизации негативных последствий. В частности, нейтрализация части рисков возможна посредством применения тендерных процедур, позволяющих фиксировать цены поставок товаров (выполнения работ, оказания услуг) и выбирать контрагента, предлагающего наилучшие условия по цене на фиксированный период. Кроме того, при реализации производственной программы Эмитент имеет возможность оперативно реагировать на изменяющуюся экономическую ситуацию, меняя объемы строительства и закупок.</w:t>
      </w:r>
    </w:p>
    <w:p w:rsidR="000647F2" w:rsidRPr="007A47A2" w:rsidRDefault="000647F2" w:rsidP="000647F2">
      <w:pPr>
        <w:widowControl/>
        <w:spacing w:before="0" w:after="0"/>
        <w:ind w:firstLine="567"/>
        <w:jc w:val="both"/>
        <w:rPr>
          <w:rFonts w:ascii="Arial" w:hAnsi="Arial" w:cs="Arial"/>
          <w:b/>
          <w:i/>
        </w:rPr>
      </w:pPr>
      <w:r>
        <w:rPr>
          <w:rFonts w:ascii="Arial" w:hAnsi="Arial" w:cs="Arial"/>
          <w:b/>
          <w:i/>
        </w:rPr>
        <w:t>Нельзя не отметить также, что значительную часть строительных работ, составляющих основную затратную часть себестоимости, вертикальная модель бизнеса Эмитента позволяет выполнять без привлечения внешних контрагентов, тем самым снижа</w:t>
      </w:r>
      <w:r w:rsidRPr="007A47A2">
        <w:rPr>
          <w:rFonts w:ascii="Arial" w:hAnsi="Arial" w:cs="Arial"/>
          <w:b/>
          <w:i/>
        </w:rPr>
        <w:t>я</w:t>
      </w:r>
      <w:r w:rsidR="00053907" w:rsidRPr="007A47A2">
        <w:rPr>
          <w:rFonts w:ascii="Arial" w:hAnsi="Arial" w:cs="Arial"/>
          <w:b/>
          <w:bCs/>
          <w:i/>
          <w:iCs/>
        </w:rPr>
        <w:t xml:space="preserve"> риски неконтролируемого увеличения цены.</w:t>
      </w:r>
    </w:p>
    <w:p w:rsidR="000647F2" w:rsidRDefault="000647F2" w:rsidP="000647F2">
      <w:pPr>
        <w:pStyle w:val="ConsPlusNormal"/>
        <w:ind w:firstLine="540"/>
        <w:jc w:val="both"/>
        <w:rPr>
          <w:rFonts w:ascii="Times New Roman" w:hAnsi="Times New Roman" w:cs="Times New Roman"/>
        </w:rPr>
      </w:pPr>
    </w:p>
    <w:p w:rsidR="000647F2" w:rsidRDefault="000647F2" w:rsidP="000647F2">
      <w:pPr>
        <w:pStyle w:val="ConsPlusNormal"/>
        <w:ind w:firstLine="540"/>
        <w:jc w:val="both"/>
        <w:rPr>
          <w:rFonts w:ascii="Times New Roman" w:hAnsi="Times New Roman" w:cs="Times New Roman"/>
        </w:rPr>
      </w:pPr>
      <w:r>
        <w:rPr>
          <w:rFonts w:ascii="Times New Roman" w:hAnsi="Times New Roman" w:cs="Times New Roman"/>
        </w:rPr>
        <w:t>Указывается, каким образом инфляция может сказаться на выплатах по ценным бумагам, приводятся критические, по мнению эмитента, значения инфляции, а также предполагаемые действия эмитента по уменьшению указанного риска.</w:t>
      </w:r>
    </w:p>
    <w:p w:rsidR="007A47A2" w:rsidRDefault="007A47A2" w:rsidP="000647F2">
      <w:pPr>
        <w:widowControl/>
        <w:spacing w:before="0" w:after="0"/>
        <w:ind w:firstLine="567"/>
        <w:jc w:val="both"/>
        <w:rPr>
          <w:rFonts w:ascii="Arial" w:hAnsi="Arial" w:cs="Arial"/>
          <w:b/>
          <w:i/>
        </w:rPr>
      </w:pPr>
    </w:p>
    <w:p w:rsidR="000647F2" w:rsidRDefault="000647F2" w:rsidP="000647F2">
      <w:pPr>
        <w:widowControl/>
        <w:spacing w:before="0" w:after="0"/>
        <w:ind w:firstLine="567"/>
        <w:jc w:val="both"/>
        <w:rPr>
          <w:rFonts w:ascii="Arial" w:hAnsi="Arial" w:cs="Arial"/>
          <w:b/>
          <w:i/>
        </w:rPr>
      </w:pPr>
      <w:r>
        <w:rPr>
          <w:rFonts w:ascii="Arial" w:hAnsi="Arial" w:cs="Arial"/>
          <w:b/>
          <w:i/>
        </w:rPr>
        <w:t>По данным ЦБ РФ инфляция составила  11,4% в 2014 году</w:t>
      </w:r>
      <w:r w:rsidR="00A458CE">
        <w:rPr>
          <w:rFonts w:ascii="Arial" w:hAnsi="Arial" w:cs="Arial"/>
          <w:b/>
          <w:i/>
        </w:rPr>
        <w:t>;</w:t>
      </w:r>
      <w:r>
        <w:rPr>
          <w:rFonts w:ascii="Arial" w:hAnsi="Arial" w:cs="Arial"/>
          <w:b/>
          <w:i/>
        </w:rPr>
        <w:t xml:space="preserve"> 12,9% в 2015 году.</w:t>
      </w:r>
    </w:p>
    <w:p w:rsidR="000647F2" w:rsidRDefault="000647F2" w:rsidP="000647F2">
      <w:pPr>
        <w:widowControl/>
        <w:spacing w:before="0" w:after="0"/>
        <w:ind w:firstLine="567"/>
        <w:jc w:val="both"/>
        <w:rPr>
          <w:rFonts w:ascii="Arial" w:hAnsi="Arial" w:cs="Arial"/>
          <w:b/>
          <w:i/>
        </w:rPr>
      </w:pPr>
      <w:r>
        <w:rPr>
          <w:rFonts w:ascii="Arial" w:hAnsi="Arial" w:cs="Arial"/>
          <w:b/>
          <w:i/>
        </w:rPr>
        <w:t>Эмитент оценивает влияние инфляционного риска как умеренное по следующим причинам:</w:t>
      </w:r>
    </w:p>
    <w:p w:rsidR="000647F2" w:rsidRDefault="000647F2" w:rsidP="00850C7F">
      <w:pPr>
        <w:pStyle w:val="a9"/>
        <w:widowControl/>
        <w:numPr>
          <w:ilvl w:val="0"/>
          <w:numId w:val="2"/>
        </w:numPr>
        <w:spacing w:before="0" w:after="0"/>
        <w:ind w:left="0" w:firstLine="567"/>
        <w:jc w:val="both"/>
        <w:rPr>
          <w:rFonts w:ascii="Arial" w:hAnsi="Arial" w:cs="Arial"/>
          <w:b/>
          <w:i/>
        </w:rPr>
      </w:pPr>
      <w:r>
        <w:rPr>
          <w:rFonts w:ascii="Arial" w:hAnsi="Arial" w:cs="Arial"/>
          <w:b/>
          <w:i/>
        </w:rPr>
        <w:t>Рост инфляции может выступать фактором, стимулирующим спрос на продукцию Эмитента, как эффективное средство сбережения накоплений в условиях обесценения денежных средств населения;</w:t>
      </w:r>
    </w:p>
    <w:p w:rsidR="000647F2" w:rsidRDefault="000647F2" w:rsidP="00850C7F">
      <w:pPr>
        <w:pStyle w:val="a9"/>
        <w:widowControl/>
        <w:numPr>
          <w:ilvl w:val="0"/>
          <w:numId w:val="2"/>
        </w:numPr>
        <w:spacing w:before="0" w:after="0"/>
        <w:ind w:left="0" w:firstLine="567"/>
        <w:jc w:val="both"/>
        <w:rPr>
          <w:rFonts w:ascii="Arial" w:hAnsi="Arial" w:cs="Arial"/>
          <w:b/>
          <w:i/>
        </w:rPr>
      </w:pPr>
      <w:r>
        <w:rPr>
          <w:rFonts w:ascii="Arial" w:hAnsi="Arial" w:cs="Arial"/>
          <w:b/>
          <w:i/>
        </w:rPr>
        <w:t>Эмитент обладает следующими элементами контроля за формированием себестоимости продукции:</w:t>
      </w:r>
    </w:p>
    <w:p w:rsidR="000647F2" w:rsidRDefault="000647F2" w:rsidP="00850C7F">
      <w:pPr>
        <w:pStyle w:val="a9"/>
        <w:widowControl/>
        <w:numPr>
          <w:ilvl w:val="0"/>
          <w:numId w:val="2"/>
        </w:numPr>
        <w:spacing w:before="0" w:after="0"/>
        <w:ind w:left="567" w:firstLine="567"/>
        <w:jc w:val="both"/>
        <w:rPr>
          <w:rFonts w:ascii="Arial" w:hAnsi="Arial" w:cs="Arial"/>
          <w:b/>
          <w:i/>
        </w:rPr>
      </w:pPr>
      <w:r>
        <w:rPr>
          <w:rFonts w:ascii="Arial" w:hAnsi="Arial" w:cs="Arial"/>
          <w:b/>
          <w:i/>
        </w:rPr>
        <w:t>Эмитент является элементом вертикально-интегрированной бизнес-модели, в состав которой входят компании, обеспечивающие Эмитента всеми существенными для производства продукции ресурсами и услугами;</w:t>
      </w:r>
    </w:p>
    <w:p w:rsidR="000647F2" w:rsidRDefault="000647F2" w:rsidP="00850C7F">
      <w:pPr>
        <w:pStyle w:val="a9"/>
        <w:widowControl/>
        <w:numPr>
          <w:ilvl w:val="0"/>
          <w:numId w:val="2"/>
        </w:numPr>
        <w:spacing w:before="0" w:after="0"/>
        <w:ind w:left="567" w:firstLine="567"/>
        <w:jc w:val="both"/>
        <w:rPr>
          <w:rFonts w:ascii="Arial" w:hAnsi="Arial" w:cs="Arial"/>
          <w:b/>
          <w:i/>
        </w:rPr>
      </w:pPr>
      <w:r>
        <w:rPr>
          <w:rFonts w:ascii="Arial" w:hAnsi="Arial" w:cs="Arial"/>
          <w:b/>
          <w:i/>
        </w:rPr>
        <w:t>Политика Эмитента в отношении приобретения сырья и материалов регламентируется процедурой тендеров, что позволяет Эмитенту выбирать поставщиков, предлагающих наиболее выгодные условия поставок, экономить на удельной стоимости в результате больших объёмов закупок, заключать долгосрочные контракты с фиксированными ценами.</w:t>
      </w:r>
    </w:p>
    <w:p w:rsidR="000647F2" w:rsidRDefault="000647F2" w:rsidP="000647F2">
      <w:pPr>
        <w:widowControl/>
        <w:spacing w:before="0" w:after="0"/>
        <w:jc w:val="both"/>
        <w:rPr>
          <w:b/>
          <w:i/>
          <w:sz w:val="22"/>
          <w:szCs w:val="22"/>
        </w:rPr>
      </w:pPr>
    </w:p>
    <w:p w:rsidR="000647F2" w:rsidRDefault="000647F2" w:rsidP="000647F2">
      <w:pPr>
        <w:widowControl/>
        <w:spacing w:before="0" w:after="0"/>
        <w:ind w:firstLine="567"/>
        <w:jc w:val="both"/>
        <w:rPr>
          <w:rFonts w:ascii="Arial" w:hAnsi="Arial" w:cs="Arial"/>
          <w:b/>
          <w:i/>
        </w:rPr>
      </w:pPr>
      <w:r>
        <w:rPr>
          <w:rFonts w:ascii="Arial" w:hAnsi="Arial" w:cs="Arial"/>
          <w:b/>
          <w:i/>
        </w:rPr>
        <w:t>Инфляция, превышающая темп роста цен на рынке недвижимости, приведет к опережающему росту затрат, снижению рентабельности строительства на рынке первичной недвижимости. При возникновении подобной ситуации предполагается, что Группа компаний «ЛенСпецСМУ» будет максимально эффективно задействовать внутренние производственные, организационные и финансовые ресурсы для снижения себестоимости продукции. По мнению Эмитента, критическое значение уровня инфляции составляет не менее 30% годовых.</w:t>
      </w:r>
    </w:p>
    <w:p w:rsidR="000647F2" w:rsidRDefault="000647F2" w:rsidP="000647F2">
      <w:pPr>
        <w:widowControl/>
        <w:spacing w:before="0" w:after="0"/>
        <w:ind w:firstLine="567"/>
        <w:jc w:val="both"/>
        <w:rPr>
          <w:rFonts w:ascii="Arial" w:hAnsi="Arial" w:cs="Arial"/>
          <w:b/>
          <w:i/>
        </w:rPr>
      </w:pPr>
      <w:r>
        <w:rPr>
          <w:rFonts w:ascii="Arial" w:hAnsi="Arial" w:cs="Arial"/>
          <w:b/>
          <w:i/>
        </w:rPr>
        <w:t>В случае роста инфляции Эмитент будет вынужден увеличивать стоимость продукции и осуществлять мероприятия по контролю за расходами. Вместе с этим рост инфляции, по мнению Эмитента, не окажет влияния на своевременность и полноту выплат по ценным бумагам Эмитента.</w:t>
      </w:r>
    </w:p>
    <w:p w:rsidR="000647F2" w:rsidRDefault="000647F2" w:rsidP="000647F2">
      <w:pPr>
        <w:pStyle w:val="ConsPlusNormal"/>
        <w:ind w:firstLine="540"/>
        <w:jc w:val="both"/>
        <w:rPr>
          <w:rFonts w:ascii="Times New Roman" w:hAnsi="Times New Roman" w:cs="Times New Roman"/>
        </w:rPr>
      </w:pPr>
    </w:p>
    <w:p w:rsidR="000647F2" w:rsidRDefault="000647F2" w:rsidP="000647F2">
      <w:pPr>
        <w:pStyle w:val="ConsPlusNormal"/>
        <w:ind w:firstLine="540"/>
        <w:jc w:val="both"/>
        <w:rPr>
          <w:rFonts w:ascii="Times New Roman" w:hAnsi="Times New Roman" w:cs="Times New Roman"/>
        </w:rPr>
      </w:pPr>
      <w:r>
        <w:rPr>
          <w:rFonts w:ascii="Times New Roman" w:hAnsi="Times New Roman" w:cs="Times New Roman"/>
        </w:rPr>
        <w:t>Указывается, какие из показателей финансовой отчетности эмитента наиболее подвержены изменению в результате влияния указанных финансовых рисков. В том числе указываются риски, вероятность их возникновения и характер изменений в отчетности.</w:t>
      </w:r>
    </w:p>
    <w:p w:rsidR="000647F2" w:rsidRDefault="000647F2" w:rsidP="000647F2">
      <w:pPr>
        <w:widowControl/>
        <w:spacing w:before="0" w:after="0"/>
        <w:ind w:firstLine="720"/>
        <w:jc w:val="both"/>
        <w:rPr>
          <w:sz w:val="22"/>
          <w:szCs w:val="22"/>
          <w:u w:val="single" w:color="000000"/>
        </w:rPr>
      </w:pPr>
    </w:p>
    <w:tbl>
      <w:tblPr>
        <w:tblW w:w="0" w:type="auto"/>
        <w:tblInd w:w="200" w:type="dxa"/>
        <w:tblLayout w:type="fixed"/>
        <w:tblLook w:val="04A0" w:firstRow="1" w:lastRow="0" w:firstColumn="1" w:lastColumn="0" w:noHBand="0" w:noVBand="1"/>
      </w:tblPr>
      <w:tblGrid>
        <w:gridCol w:w="2460"/>
        <w:gridCol w:w="4536"/>
        <w:gridCol w:w="2291"/>
      </w:tblGrid>
      <w:tr w:rsidR="000647F2" w:rsidTr="000647F2">
        <w:tc>
          <w:tcPr>
            <w:tcW w:w="2460" w:type="dxa"/>
            <w:tcBorders>
              <w:top w:val="single" w:sz="4" w:space="0" w:color="auto"/>
              <w:left w:val="single" w:sz="4" w:space="0" w:color="auto"/>
              <w:bottom w:val="single" w:sz="4" w:space="0" w:color="auto"/>
              <w:right w:val="single" w:sz="4" w:space="0" w:color="auto"/>
            </w:tcBorders>
            <w:hideMark/>
          </w:tcPr>
          <w:p w:rsidR="000647F2" w:rsidRPr="00A458CE" w:rsidRDefault="00A458CE" w:rsidP="00A458CE">
            <w:pPr>
              <w:widowControl/>
              <w:spacing w:before="0" w:after="0" w:line="276" w:lineRule="auto"/>
              <w:jc w:val="center"/>
              <w:rPr>
                <w:rFonts w:ascii="Arial" w:hAnsi="Arial" w:cs="Arial"/>
                <w:lang w:eastAsia="en-US"/>
              </w:rPr>
            </w:pPr>
            <w:r w:rsidRPr="00A458CE">
              <w:rPr>
                <w:rFonts w:ascii="Arial" w:hAnsi="Arial" w:cs="Arial"/>
                <w:lang w:eastAsia="en-US"/>
              </w:rPr>
              <w:t>Р</w:t>
            </w:r>
            <w:r w:rsidR="000647F2" w:rsidRPr="00A458CE">
              <w:rPr>
                <w:rFonts w:ascii="Arial" w:hAnsi="Arial" w:cs="Arial"/>
                <w:lang w:eastAsia="en-US"/>
              </w:rPr>
              <w:t>иск</w:t>
            </w:r>
            <w:r w:rsidRPr="00A458CE">
              <w:rPr>
                <w:rFonts w:ascii="Arial" w:hAnsi="Arial" w:cs="Arial"/>
                <w:lang w:eastAsia="en-US"/>
              </w:rPr>
              <w:t>и</w:t>
            </w:r>
          </w:p>
        </w:tc>
        <w:tc>
          <w:tcPr>
            <w:tcW w:w="4536" w:type="dxa"/>
            <w:tcBorders>
              <w:top w:val="single" w:sz="4" w:space="0" w:color="auto"/>
              <w:left w:val="single" w:sz="4" w:space="0" w:color="auto"/>
              <w:bottom w:val="single" w:sz="4" w:space="0" w:color="auto"/>
              <w:right w:val="single" w:sz="4" w:space="0" w:color="auto"/>
            </w:tcBorders>
            <w:hideMark/>
          </w:tcPr>
          <w:p w:rsidR="000647F2" w:rsidRPr="00A458CE" w:rsidRDefault="004C478C" w:rsidP="004C478C">
            <w:pPr>
              <w:widowControl/>
              <w:spacing w:before="0" w:after="0" w:line="276" w:lineRule="auto"/>
              <w:jc w:val="center"/>
              <w:rPr>
                <w:rFonts w:ascii="Arial" w:hAnsi="Arial" w:cs="Arial"/>
                <w:lang w:eastAsia="en-US"/>
              </w:rPr>
            </w:pPr>
            <w:r>
              <w:rPr>
                <w:rFonts w:ascii="Arial" w:hAnsi="Arial" w:cs="Arial"/>
                <w:lang w:eastAsia="en-US"/>
              </w:rPr>
              <w:t>Х</w:t>
            </w:r>
            <w:r w:rsidRPr="00A458CE">
              <w:rPr>
                <w:rFonts w:ascii="Arial" w:hAnsi="Arial" w:cs="Arial"/>
                <w:lang w:eastAsia="en-US"/>
              </w:rPr>
              <w:t xml:space="preserve">арактер </w:t>
            </w:r>
            <w:r w:rsidR="000647F2" w:rsidRPr="00A458CE">
              <w:rPr>
                <w:rFonts w:ascii="Arial" w:hAnsi="Arial" w:cs="Arial"/>
                <w:lang w:eastAsia="en-US"/>
              </w:rPr>
              <w:t>изменения</w:t>
            </w:r>
            <w:r w:rsidR="00A458CE">
              <w:rPr>
                <w:rFonts w:ascii="Arial" w:hAnsi="Arial" w:cs="Arial"/>
                <w:lang w:eastAsia="en-US"/>
              </w:rPr>
              <w:t xml:space="preserve"> в отчетности</w:t>
            </w:r>
          </w:p>
        </w:tc>
        <w:tc>
          <w:tcPr>
            <w:tcW w:w="2291" w:type="dxa"/>
            <w:tcBorders>
              <w:top w:val="single" w:sz="4" w:space="0" w:color="auto"/>
              <w:left w:val="single" w:sz="4" w:space="0" w:color="auto"/>
              <w:bottom w:val="single" w:sz="4" w:space="0" w:color="auto"/>
              <w:right w:val="single" w:sz="4" w:space="0" w:color="auto"/>
            </w:tcBorders>
            <w:hideMark/>
          </w:tcPr>
          <w:p w:rsidR="000647F2" w:rsidRPr="00A458CE" w:rsidRDefault="000647F2" w:rsidP="00E07DAC">
            <w:pPr>
              <w:widowControl/>
              <w:spacing w:before="0" w:after="0" w:line="276" w:lineRule="auto"/>
              <w:jc w:val="center"/>
              <w:rPr>
                <w:rFonts w:ascii="Arial" w:hAnsi="Arial" w:cs="Arial"/>
                <w:lang w:eastAsia="en-US"/>
              </w:rPr>
            </w:pPr>
            <w:r w:rsidRPr="00A458CE">
              <w:rPr>
                <w:rFonts w:ascii="Arial" w:hAnsi="Arial" w:cs="Arial"/>
                <w:lang w:eastAsia="en-US"/>
              </w:rPr>
              <w:t>Вероятность наступления</w:t>
            </w:r>
          </w:p>
        </w:tc>
      </w:tr>
      <w:tr w:rsidR="000647F2" w:rsidTr="000647F2">
        <w:tc>
          <w:tcPr>
            <w:tcW w:w="2460" w:type="dxa"/>
            <w:tcBorders>
              <w:top w:val="single" w:sz="4" w:space="0" w:color="auto"/>
              <w:left w:val="single" w:sz="4" w:space="0" w:color="auto"/>
              <w:bottom w:val="single" w:sz="4" w:space="0" w:color="auto"/>
              <w:right w:val="single" w:sz="4" w:space="0" w:color="auto"/>
            </w:tcBorders>
            <w:hideMark/>
          </w:tcPr>
          <w:p w:rsidR="000647F2" w:rsidRPr="00850C7F" w:rsidRDefault="000647F2">
            <w:pPr>
              <w:widowControl/>
              <w:spacing w:before="0" w:after="0" w:line="276" w:lineRule="auto"/>
              <w:jc w:val="both"/>
              <w:rPr>
                <w:rFonts w:ascii="Arial" w:hAnsi="Arial" w:cs="Arial"/>
                <w:b/>
                <w:i/>
                <w:lang w:eastAsia="en-US"/>
              </w:rPr>
            </w:pPr>
            <w:r w:rsidRPr="00850C7F">
              <w:rPr>
                <w:rFonts w:ascii="Arial" w:hAnsi="Arial" w:cs="Arial"/>
                <w:b/>
                <w:i/>
                <w:lang w:eastAsia="en-US"/>
              </w:rPr>
              <w:t>Валютный риск (риск обесценения рубля РФ)</w:t>
            </w:r>
          </w:p>
        </w:tc>
        <w:tc>
          <w:tcPr>
            <w:tcW w:w="4536" w:type="dxa"/>
            <w:tcBorders>
              <w:top w:val="single" w:sz="4" w:space="0" w:color="auto"/>
              <w:left w:val="single" w:sz="4" w:space="0" w:color="auto"/>
              <w:bottom w:val="single" w:sz="4" w:space="0" w:color="auto"/>
              <w:right w:val="single" w:sz="4" w:space="0" w:color="auto"/>
            </w:tcBorders>
            <w:hideMark/>
          </w:tcPr>
          <w:p w:rsidR="000647F2" w:rsidRPr="00850C7F" w:rsidRDefault="000647F2">
            <w:pPr>
              <w:widowControl/>
              <w:spacing w:before="0" w:after="0" w:line="276" w:lineRule="auto"/>
              <w:jc w:val="both"/>
              <w:rPr>
                <w:rFonts w:ascii="Arial" w:hAnsi="Arial" w:cs="Arial"/>
                <w:b/>
                <w:i/>
                <w:lang w:eastAsia="en-US"/>
              </w:rPr>
            </w:pPr>
            <w:r w:rsidRPr="00850C7F">
              <w:rPr>
                <w:rFonts w:ascii="Arial" w:hAnsi="Arial" w:cs="Arial"/>
                <w:b/>
                <w:i/>
                <w:lang w:eastAsia="en-US"/>
              </w:rPr>
              <w:t>Изменение цены приобретения материалов и основных средств иностранного производства: влияние на себестоимость и чистую прибыль.</w:t>
            </w:r>
          </w:p>
          <w:p w:rsidR="000647F2" w:rsidRPr="00850C7F" w:rsidRDefault="000647F2">
            <w:pPr>
              <w:widowControl/>
              <w:spacing w:before="0" w:after="0" w:line="276" w:lineRule="auto"/>
              <w:jc w:val="both"/>
              <w:rPr>
                <w:rFonts w:ascii="Arial" w:hAnsi="Arial" w:cs="Arial"/>
                <w:b/>
                <w:i/>
                <w:lang w:eastAsia="en-US"/>
              </w:rPr>
            </w:pPr>
            <w:r w:rsidRPr="00850C7F">
              <w:rPr>
                <w:rFonts w:ascii="Arial" w:hAnsi="Arial" w:cs="Arial"/>
                <w:b/>
                <w:i/>
                <w:lang w:eastAsia="en-US"/>
              </w:rPr>
              <w:t>Курсовые разницы в составе прочих доходов и расходов: влияние на чистую прибыль.</w:t>
            </w:r>
          </w:p>
        </w:tc>
        <w:tc>
          <w:tcPr>
            <w:tcW w:w="2291" w:type="dxa"/>
            <w:tcBorders>
              <w:top w:val="single" w:sz="4" w:space="0" w:color="auto"/>
              <w:left w:val="single" w:sz="4" w:space="0" w:color="auto"/>
              <w:bottom w:val="single" w:sz="4" w:space="0" w:color="auto"/>
              <w:right w:val="single" w:sz="4" w:space="0" w:color="auto"/>
            </w:tcBorders>
            <w:hideMark/>
          </w:tcPr>
          <w:p w:rsidR="000647F2" w:rsidRPr="00850C7F" w:rsidRDefault="000647F2">
            <w:pPr>
              <w:widowControl/>
              <w:spacing w:before="0" w:after="0" w:line="276" w:lineRule="auto"/>
              <w:ind w:firstLine="567"/>
              <w:jc w:val="both"/>
              <w:rPr>
                <w:rFonts w:ascii="Arial" w:hAnsi="Arial" w:cs="Arial"/>
                <w:b/>
                <w:i/>
                <w:lang w:eastAsia="en-US"/>
              </w:rPr>
            </w:pPr>
            <w:r w:rsidRPr="00850C7F">
              <w:rPr>
                <w:rFonts w:ascii="Arial" w:hAnsi="Arial" w:cs="Arial"/>
                <w:b/>
                <w:i/>
                <w:lang w:eastAsia="en-US"/>
              </w:rPr>
              <w:t>Умеренная</w:t>
            </w:r>
          </w:p>
        </w:tc>
      </w:tr>
      <w:tr w:rsidR="000647F2" w:rsidTr="000647F2">
        <w:tc>
          <w:tcPr>
            <w:tcW w:w="2460" w:type="dxa"/>
            <w:tcBorders>
              <w:top w:val="single" w:sz="4" w:space="0" w:color="auto"/>
              <w:left w:val="single" w:sz="4" w:space="0" w:color="auto"/>
              <w:bottom w:val="single" w:sz="4" w:space="0" w:color="auto"/>
              <w:right w:val="single" w:sz="4" w:space="0" w:color="auto"/>
            </w:tcBorders>
            <w:hideMark/>
          </w:tcPr>
          <w:p w:rsidR="000647F2" w:rsidRPr="00850C7F" w:rsidRDefault="000647F2">
            <w:pPr>
              <w:widowControl/>
              <w:spacing w:before="0" w:after="0" w:line="276" w:lineRule="auto"/>
              <w:jc w:val="both"/>
              <w:rPr>
                <w:rFonts w:ascii="Arial" w:hAnsi="Arial" w:cs="Arial"/>
                <w:b/>
                <w:i/>
                <w:lang w:eastAsia="en-US"/>
              </w:rPr>
            </w:pPr>
            <w:r w:rsidRPr="00850C7F">
              <w:rPr>
                <w:rFonts w:ascii="Arial" w:hAnsi="Arial" w:cs="Arial"/>
                <w:b/>
                <w:i/>
                <w:lang w:eastAsia="en-US"/>
              </w:rPr>
              <w:t>Инфляционный риск</w:t>
            </w:r>
          </w:p>
        </w:tc>
        <w:tc>
          <w:tcPr>
            <w:tcW w:w="4536" w:type="dxa"/>
            <w:tcBorders>
              <w:top w:val="single" w:sz="4" w:space="0" w:color="auto"/>
              <w:left w:val="single" w:sz="4" w:space="0" w:color="auto"/>
              <w:bottom w:val="single" w:sz="4" w:space="0" w:color="auto"/>
              <w:right w:val="single" w:sz="4" w:space="0" w:color="auto"/>
            </w:tcBorders>
            <w:hideMark/>
          </w:tcPr>
          <w:p w:rsidR="000647F2" w:rsidRPr="00850C7F" w:rsidRDefault="000647F2">
            <w:pPr>
              <w:widowControl/>
              <w:spacing w:before="0" w:after="0" w:line="276" w:lineRule="auto"/>
              <w:jc w:val="both"/>
              <w:rPr>
                <w:rFonts w:ascii="Arial" w:hAnsi="Arial" w:cs="Arial"/>
                <w:b/>
                <w:i/>
                <w:lang w:eastAsia="en-US"/>
              </w:rPr>
            </w:pPr>
            <w:r w:rsidRPr="00850C7F">
              <w:rPr>
                <w:rFonts w:ascii="Arial" w:hAnsi="Arial" w:cs="Arial"/>
                <w:b/>
                <w:i/>
                <w:lang w:eastAsia="en-US"/>
              </w:rPr>
              <w:t>Изменение цены продаж продукции Эмитента и стоимости производства: влияние на выручку, себестоимость и чистую прибыль.</w:t>
            </w:r>
          </w:p>
        </w:tc>
        <w:tc>
          <w:tcPr>
            <w:tcW w:w="2291" w:type="dxa"/>
            <w:tcBorders>
              <w:top w:val="single" w:sz="4" w:space="0" w:color="auto"/>
              <w:left w:val="single" w:sz="4" w:space="0" w:color="auto"/>
              <w:bottom w:val="single" w:sz="4" w:space="0" w:color="auto"/>
              <w:right w:val="single" w:sz="4" w:space="0" w:color="auto"/>
            </w:tcBorders>
            <w:hideMark/>
          </w:tcPr>
          <w:p w:rsidR="000647F2" w:rsidRPr="00850C7F" w:rsidRDefault="000647F2">
            <w:pPr>
              <w:widowControl/>
              <w:spacing w:before="0" w:after="0" w:line="276" w:lineRule="auto"/>
              <w:ind w:firstLine="567"/>
              <w:jc w:val="both"/>
              <w:rPr>
                <w:rFonts w:ascii="Arial" w:hAnsi="Arial" w:cs="Arial"/>
                <w:b/>
                <w:i/>
                <w:lang w:eastAsia="en-US"/>
              </w:rPr>
            </w:pPr>
            <w:r w:rsidRPr="00850C7F">
              <w:rPr>
                <w:rFonts w:ascii="Arial" w:hAnsi="Arial" w:cs="Arial"/>
                <w:b/>
                <w:i/>
                <w:lang w:eastAsia="en-US"/>
              </w:rPr>
              <w:t>Умеренная</w:t>
            </w:r>
          </w:p>
        </w:tc>
      </w:tr>
      <w:tr w:rsidR="000647F2" w:rsidTr="000647F2">
        <w:trPr>
          <w:trHeight w:val="638"/>
        </w:trPr>
        <w:tc>
          <w:tcPr>
            <w:tcW w:w="2460" w:type="dxa"/>
            <w:tcBorders>
              <w:top w:val="single" w:sz="4" w:space="0" w:color="auto"/>
              <w:left w:val="single" w:sz="4" w:space="0" w:color="auto"/>
              <w:bottom w:val="single" w:sz="4" w:space="0" w:color="auto"/>
              <w:right w:val="single" w:sz="4" w:space="0" w:color="auto"/>
            </w:tcBorders>
            <w:hideMark/>
          </w:tcPr>
          <w:p w:rsidR="000647F2" w:rsidRPr="00850C7F" w:rsidRDefault="000647F2">
            <w:pPr>
              <w:widowControl/>
              <w:spacing w:before="0" w:after="0" w:line="276" w:lineRule="auto"/>
              <w:jc w:val="both"/>
              <w:rPr>
                <w:rFonts w:ascii="Arial" w:hAnsi="Arial" w:cs="Arial"/>
                <w:b/>
                <w:i/>
                <w:lang w:eastAsia="en-US"/>
              </w:rPr>
            </w:pPr>
            <w:r w:rsidRPr="00850C7F">
              <w:rPr>
                <w:rFonts w:ascii="Arial" w:hAnsi="Arial" w:cs="Arial"/>
                <w:b/>
                <w:i/>
                <w:lang w:eastAsia="en-US"/>
              </w:rPr>
              <w:t>Риск роста процентных ставок</w:t>
            </w:r>
          </w:p>
        </w:tc>
        <w:tc>
          <w:tcPr>
            <w:tcW w:w="4536" w:type="dxa"/>
            <w:tcBorders>
              <w:top w:val="single" w:sz="4" w:space="0" w:color="auto"/>
              <w:left w:val="single" w:sz="4" w:space="0" w:color="auto"/>
              <w:bottom w:val="single" w:sz="4" w:space="0" w:color="auto"/>
              <w:right w:val="single" w:sz="4" w:space="0" w:color="auto"/>
            </w:tcBorders>
            <w:hideMark/>
          </w:tcPr>
          <w:p w:rsidR="000647F2" w:rsidRPr="00850C7F" w:rsidRDefault="000647F2">
            <w:pPr>
              <w:widowControl/>
              <w:spacing w:before="0" w:after="0" w:line="276" w:lineRule="auto"/>
              <w:jc w:val="both"/>
              <w:rPr>
                <w:rFonts w:ascii="Arial" w:hAnsi="Arial" w:cs="Arial"/>
                <w:b/>
                <w:i/>
                <w:lang w:eastAsia="en-US"/>
              </w:rPr>
            </w:pPr>
            <w:r w:rsidRPr="00850C7F">
              <w:rPr>
                <w:rFonts w:ascii="Arial" w:hAnsi="Arial" w:cs="Arial"/>
                <w:b/>
                <w:i/>
                <w:lang w:eastAsia="en-US"/>
              </w:rPr>
              <w:t>Рост расходов на обслуживание заёмных средств: влияние на чистую прибыль.</w:t>
            </w:r>
          </w:p>
        </w:tc>
        <w:tc>
          <w:tcPr>
            <w:tcW w:w="2291" w:type="dxa"/>
            <w:tcBorders>
              <w:top w:val="single" w:sz="4" w:space="0" w:color="auto"/>
              <w:left w:val="single" w:sz="4" w:space="0" w:color="auto"/>
              <w:bottom w:val="single" w:sz="4" w:space="0" w:color="auto"/>
              <w:right w:val="single" w:sz="4" w:space="0" w:color="auto"/>
            </w:tcBorders>
            <w:hideMark/>
          </w:tcPr>
          <w:p w:rsidR="000647F2" w:rsidRPr="00850C7F" w:rsidRDefault="000647F2">
            <w:pPr>
              <w:widowControl/>
              <w:spacing w:before="0" w:after="0" w:line="276" w:lineRule="auto"/>
              <w:ind w:firstLine="567"/>
              <w:jc w:val="both"/>
              <w:rPr>
                <w:rFonts w:ascii="Arial" w:hAnsi="Arial" w:cs="Arial"/>
                <w:b/>
                <w:i/>
                <w:lang w:eastAsia="en-US"/>
              </w:rPr>
            </w:pPr>
            <w:r w:rsidRPr="00850C7F">
              <w:rPr>
                <w:rFonts w:ascii="Arial" w:hAnsi="Arial" w:cs="Arial"/>
                <w:b/>
                <w:i/>
                <w:lang w:eastAsia="en-US"/>
              </w:rPr>
              <w:t>Умеренная</w:t>
            </w:r>
          </w:p>
        </w:tc>
      </w:tr>
    </w:tbl>
    <w:p w:rsidR="000647F2" w:rsidRDefault="000647F2" w:rsidP="000647F2">
      <w:pPr>
        <w:widowControl/>
        <w:spacing w:before="0" w:after="0"/>
        <w:ind w:firstLine="567"/>
        <w:jc w:val="both"/>
        <w:rPr>
          <w:rFonts w:ascii="Arial" w:hAnsi="Arial" w:cs="Arial"/>
          <w:b/>
          <w:i/>
        </w:rPr>
      </w:pPr>
    </w:p>
    <w:p w:rsidR="000647F2" w:rsidRDefault="000647F2" w:rsidP="000647F2">
      <w:pPr>
        <w:widowControl/>
        <w:spacing w:before="0" w:after="0"/>
        <w:ind w:firstLine="567"/>
        <w:jc w:val="both"/>
        <w:rPr>
          <w:rFonts w:ascii="Arial" w:hAnsi="Arial" w:cs="Arial"/>
          <w:b/>
          <w:i/>
        </w:rPr>
      </w:pPr>
      <w:r>
        <w:rPr>
          <w:rFonts w:ascii="Arial" w:hAnsi="Arial" w:cs="Arial"/>
          <w:b/>
          <w:i/>
        </w:rPr>
        <w:t>На основании вышеизложенного Эмитент оценивает общий уровень финансового риска как умеренный.</w:t>
      </w:r>
    </w:p>
    <w:p w:rsidR="000647F2" w:rsidRDefault="000647F2" w:rsidP="000647F2">
      <w:pPr>
        <w:pStyle w:val="ConsPlusNormal"/>
        <w:jc w:val="both"/>
        <w:rPr>
          <w:rFonts w:ascii="Times New Roman" w:hAnsi="Times New Roman" w:cs="Times New Roman"/>
        </w:rPr>
      </w:pPr>
    </w:p>
    <w:p w:rsidR="000647F2" w:rsidRPr="002E4F70" w:rsidRDefault="000647F2" w:rsidP="000647F2">
      <w:pPr>
        <w:pStyle w:val="ConsPlusNormal"/>
        <w:ind w:firstLine="540"/>
        <w:jc w:val="both"/>
        <w:outlineLvl w:val="2"/>
        <w:rPr>
          <w:b/>
          <w:sz w:val="26"/>
          <w:szCs w:val="26"/>
        </w:rPr>
      </w:pPr>
      <w:bookmarkStart w:id="26" w:name="_Toc448251131"/>
      <w:r w:rsidRPr="002E4F70">
        <w:rPr>
          <w:b/>
          <w:sz w:val="26"/>
          <w:szCs w:val="26"/>
        </w:rPr>
        <w:t>2.5.4. Правовые риски</w:t>
      </w:r>
      <w:bookmarkEnd w:id="26"/>
    </w:p>
    <w:p w:rsidR="00A06BCF" w:rsidRDefault="00A06BCF" w:rsidP="000647F2">
      <w:pPr>
        <w:pStyle w:val="ConsPlusNormal"/>
        <w:ind w:firstLine="540"/>
        <w:jc w:val="both"/>
        <w:rPr>
          <w:rFonts w:ascii="Times New Roman" w:hAnsi="Times New Roman" w:cs="Times New Roman"/>
        </w:rPr>
      </w:pPr>
    </w:p>
    <w:p w:rsidR="000647F2" w:rsidRDefault="000647F2" w:rsidP="000647F2">
      <w:pPr>
        <w:pStyle w:val="ConsPlusNormal"/>
        <w:ind w:firstLine="540"/>
        <w:jc w:val="both"/>
        <w:rPr>
          <w:rFonts w:ascii="Times New Roman" w:hAnsi="Times New Roman" w:cs="Times New Roman"/>
        </w:rPr>
      </w:pPr>
      <w:r>
        <w:rPr>
          <w:rFonts w:ascii="Times New Roman" w:hAnsi="Times New Roman" w:cs="Times New Roman"/>
        </w:rPr>
        <w:t>Описываются правовые риски, связанные с деятельностью эмитента (отдельно для внутреннего и внешнего рынков), в том числе риски, связанные с изменением:</w:t>
      </w:r>
    </w:p>
    <w:p w:rsidR="000647F2" w:rsidRDefault="000647F2" w:rsidP="000647F2">
      <w:pPr>
        <w:pStyle w:val="ConsPlusNormal"/>
        <w:ind w:firstLine="540"/>
        <w:jc w:val="both"/>
        <w:rPr>
          <w:rFonts w:ascii="Times New Roman" w:hAnsi="Times New Roman" w:cs="Times New Roman"/>
        </w:rPr>
      </w:pPr>
      <w:r>
        <w:rPr>
          <w:rFonts w:ascii="Times New Roman" w:hAnsi="Times New Roman" w:cs="Times New Roman"/>
        </w:rPr>
        <w:t>валютного регулирования;</w:t>
      </w:r>
    </w:p>
    <w:p w:rsidR="000647F2" w:rsidRDefault="000647F2" w:rsidP="000647F2">
      <w:pPr>
        <w:pStyle w:val="ConsPlusNormal"/>
        <w:ind w:firstLine="540"/>
        <w:jc w:val="both"/>
        <w:rPr>
          <w:rFonts w:ascii="Times New Roman" w:hAnsi="Times New Roman" w:cs="Times New Roman"/>
        </w:rPr>
      </w:pPr>
      <w:r>
        <w:rPr>
          <w:rFonts w:ascii="Times New Roman" w:hAnsi="Times New Roman" w:cs="Times New Roman"/>
        </w:rPr>
        <w:t>налогового законодательства;</w:t>
      </w:r>
    </w:p>
    <w:p w:rsidR="000647F2" w:rsidRDefault="000647F2" w:rsidP="000647F2">
      <w:pPr>
        <w:pStyle w:val="ConsPlusNormal"/>
        <w:ind w:firstLine="540"/>
        <w:jc w:val="both"/>
        <w:rPr>
          <w:rFonts w:ascii="Times New Roman" w:hAnsi="Times New Roman" w:cs="Times New Roman"/>
        </w:rPr>
      </w:pPr>
      <w:r>
        <w:rPr>
          <w:rFonts w:ascii="Times New Roman" w:hAnsi="Times New Roman" w:cs="Times New Roman"/>
        </w:rPr>
        <w:t>правил таможенного контроля и пошлин;</w:t>
      </w:r>
    </w:p>
    <w:p w:rsidR="000647F2" w:rsidRDefault="000647F2" w:rsidP="000647F2">
      <w:pPr>
        <w:pStyle w:val="ConsPlusNormal"/>
        <w:ind w:firstLine="540"/>
        <w:jc w:val="both"/>
        <w:rPr>
          <w:rFonts w:ascii="Times New Roman" w:hAnsi="Times New Roman" w:cs="Times New Roman"/>
        </w:rPr>
      </w:pPr>
      <w:r>
        <w:rPr>
          <w:rFonts w:ascii="Times New Roman" w:hAnsi="Times New Roman" w:cs="Times New Roman"/>
        </w:rPr>
        <w:t>требований по лицензированию основной деятельности эмитента либо лицензированию прав пользования объектами, нахождение которых в обороте ограничено (включая природные ресурсы);</w:t>
      </w:r>
    </w:p>
    <w:p w:rsidR="000647F2" w:rsidRDefault="000647F2" w:rsidP="000647F2">
      <w:pPr>
        <w:pStyle w:val="ConsPlusNormal"/>
        <w:ind w:firstLine="540"/>
        <w:jc w:val="both"/>
        <w:rPr>
          <w:rFonts w:ascii="Times New Roman" w:hAnsi="Times New Roman" w:cs="Times New Roman"/>
        </w:rPr>
      </w:pPr>
      <w:r>
        <w:rPr>
          <w:rFonts w:ascii="Times New Roman" w:hAnsi="Times New Roman" w:cs="Times New Roman"/>
        </w:rPr>
        <w:t>судебной практики по вопросам, связанным с деятельностью эмитента (в том числе по вопросам лицензирования), которая может негативно сказаться на результатах его деятельности, а также на результатах текущих судебных процессов, в которых участвует эмитент.</w:t>
      </w:r>
    </w:p>
    <w:p w:rsidR="000647F2" w:rsidRDefault="000647F2" w:rsidP="000647F2">
      <w:pPr>
        <w:pStyle w:val="ConsPlusNormal"/>
        <w:jc w:val="both"/>
        <w:rPr>
          <w:rFonts w:ascii="Times New Roman" w:hAnsi="Times New Roman" w:cs="Times New Roman"/>
        </w:rPr>
      </w:pPr>
    </w:p>
    <w:p w:rsidR="00D95C60" w:rsidRDefault="00D95C60" w:rsidP="00D95C60">
      <w:pPr>
        <w:widowControl/>
        <w:spacing w:before="0" w:after="0"/>
        <w:ind w:firstLine="567"/>
        <w:jc w:val="both"/>
        <w:rPr>
          <w:rFonts w:ascii="Arial" w:hAnsi="Arial" w:cs="Arial"/>
          <w:b/>
          <w:i/>
        </w:rPr>
      </w:pPr>
      <w:r>
        <w:rPr>
          <w:rFonts w:ascii="Arial" w:hAnsi="Arial" w:cs="Arial"/>
          <w:b/>
          <w:i/>
        </w:rPr>
        <w:t xml:space="preserve">Эмитент не осуществляет экспорт товаров, работ либо услуг, а также не осуществляет деятельность за пределами Российской Федерации. В связи с этим правовые риски, связанные с деятельностью Эмитента, описываются только для внутреннего рынка. </w:t>
      </w:r>
    </w:p>
    <w:p w:rsidR="00D95C60" w:rsidRDefault="00D95C60" w:rsidP="00D95C60">
      <w:pPr>
        <w:widowControl/>
        <w:spacing w:before="0" w:after="0"/>
        <w:ind w:firstLine="567"/>
        <w:jc w:val="both"/>
        <w:rPr>
          <w:rFonts w:ascii="Arial" w:hAnsi="Arial" w:cs="Arial"/>
          <w:b/>
          <w:i/>
        </w:rPr>
      </w:pPr>
      <w:r>
        <w:rPr>
          <w:rFonts w:ascii="Arial" w:hAnsi="Arial" w:cs="Arial"/>
          <w:b/>
          <w:i/>
        </w:rPr>
        <w:t>В целом, риски, связанные с деятельностью Эмитента, характерны для большей части субъектов предпринимательской деятельности, работающих на территории Российской Федерации, и могут рассматриваться как общестрановые. Реализация указанных далее рисков находится вне зоны контроля Эмитента.</w:t>
      </w:r>
    </w:p>
    <w:p w:rsidR="00D95C60" w:rsidRDefault="00D95C60" w:rsidP="00D95C60">
      <w:pPr>
        <w:widowControl/>
        <w:spacing w:before="0" w:after="0"/>
        <w:ind w:firstLine="567"/>
        <w:jc w:val="both"/>
        <w:rPr>
          <w:rFonts w:ascii="Arial" w:hAnsi="Arial" w:cs="Arial"/>
          <w:b/>
          <w:i/>
        </w:rPr>
      </w:pPr>
      <w:r>
        <w:rPr>
          <w:rFonts w:ascii="Arial" w:hAnsi="Arial" w:cs="Arial"/>
          <w:b/>
          <w:i/>
        </w:rPr>
        <w:t>Вместе с тем, Эмитент осуществляет свою деятельность в соответствии с нормами действующего законодательства Российской Федерации, в том числе валютного и налогового, и осуществляет постоянный мониторинг их изменений.</w:t>
      </w:r>
    </w:p>
    <w:p w:rsidR="00D95C60" w:rsidRDefault="00D95C60" w:rsidP="00D95C60">
      <w:pPr>
        <w:widowControl/>
        <w:spacing w:before="0" w:after="0"/>
        <w:ind w:firstLine="567"/>
        <w:jc w:val="both"/>
        <w:rPr>
          <w:rFonts w:ascii="Arial" w:hAnsi="Arial" w:cs="Arial"/>
          <w:b/>
          <w:i/>
        </w:rPr>
      </w:pPr>
    </w:p>
    <w:p w:rsidR="00D95C60" w:rsidRDefault="00D95C60" w:rsidP="00D95C60">
      <w:pPr>
        <w:widowControl/>
        <w:spacing w:before="0" w:after="0"/>
        <w:ind w:firstLine="567"/>
        <w:jc w:val="both"/>
        <w:rPr>
          <w:rFonts w:ascii="Arial" w:hAnsi="Arial" w:cs="Arial"/>
          <w:b/>
          <w:i/>
        </w:rPr>
      </w:pPr>
      <w:r>
        <w:rPr>
          <w:rFonts w:ascii="Arial" w:hAnsi="Arial" w:cs="Arial"/>
          <w:b/>
          <w:i/>
        </w:rPr>
        <w:t>Правовые риски, связанные с деятельностью Эмитента, в том числе риски, связанные с:</w:t>
      </w:r>
    </w:p>
    <w:p w:rsidR="00D95C60" w:rsidRDefault="00D95C60" w:rsidP="00D95C60">
      <w:pPr>
        <w:widowControl/>
        <w:spacing w:before="0" w:after="0"/>
        <w:ind w:firstLine="567"/>
        <w:jc w:val="both"/>
        <w:rPr>
          <w:rFonts w:ascii="Arial" w:hAnsi="Arial" w:cs="Arial"/>
          <w:b/>
          <w:i/>
          <w:u w:val="single"/>
        </w:rPr>
      </w:pPr>
      <w:r>
        <w:rPr>
          <w:rFonts w:ascii="Arial" w:hAnsi="Arial" w:cs="Arial"/>
          <w:b/>
          <w:i/>
          <w:u w:val="single"/>
        </w:rPr>
        <w:t>изменением валютного регулирования:</w:t>
      </w:r>
    </w:p>
    <w:p w:rsidR="00A06BCF" w:rsidRDefault="00A06BCF" w:rsidP="00D95C60">
      <w:pPr>
        <w:widowControl/>
        <w:spacing w:before="0" w:after="0"/>
        <w:ind w:firstLine="567"/>
        <w:jc w:val="both"/>
        <w:rPr>
          <w:rFonts w:ascii="Arial" w:hAnsi="Arial" w:cs="Arial"/>
          <w:b/>
          <w:i/>
        </w:rPr>
      </w:pPr>
    </w:p>
    <w:p w:rsidR="00D95C60" w:rsidRDefault="00D95C60" w:rsidP="00D95C60">
      <w:pPr>
        <w:widowControl/>
        <w:spacing w:before="0" w:after="0"/>
        <w:ind w:firstLine="567"/>
        <w:jc w:val="both"/>
        <w:rPr>
          <w:rFonts w:ascii="Arial" w:hAnsi="Arial" w:cs="Arial"/>
          <w:b/>
          <w:i/>
        </w:rPr>
      </w:pPr>
      <w:r>
        <w:rPr>
          <w:rFonts w:ascii="Arial" w:hAnsi="Arial" w:cs="Arial"/>
          <w:b/>
          <w:i/>
        </w:rPr>
        <w:t>Эмитент осуществляет свою деятельность в соответствии с действующим законодательством в отношении валютного регулирования, в том числе в соответствии с Федеральным законом от 10.12.2003 № 173-ФЗ «О валютном регулировании и валютном контроле» и принятыми в соответствии с ним нормативными правовыми актами.</w:t>
      </w:r>
    </w:p>
    <w:p w:rsidR="00D95C60" w:rsidRDefault="00D95C60" w:rsidP="00D95C60">
      <w:pPr>
        <w:widowControl/>
        <w:spacing w:before="0" w:after="0"/>
        <w:ind w:firstLine="567"/>
        <w:jc w:val="both"/>
        <w:rPr>
          <w:b/>
          <w:i/>
          <w:sz w:val="22"/>
          <w:szCs w:val="24"/>
        </w:rPr>
      </w:pPr>
      <w:r>
        <w:rPr>
          <w:rFonts w:ascii="Arial" w:hAnsi="Arial" w:cs="Arial"/>
          <w:b/>
          <w:i/>
        </w:rPr>
        <w:t>Риски, связанные с возможностью изменения валютного регулирования, в настоящее время рассматриваются Эмитентом как минимальные. В связи с проведением политики либерализации валютного регулирования риски, связанные с изменениями валютного законодательства, снижаются</w:t>
      </w:r>
      <w:r>
        <w:rPr>
          <w:b/>
          <w:i/>
          <w:sz w:val="22"/>
          <w:szCs w:val="24"/>
        </w:rPr>
        <w:t>.</w:t>
      </w:r>
    </w:p>
    <w:p w:rsidR="00D95C60" w:rsidRDefault="00D95C60" w:rsidP="00D95C60">
      <w:pPr>
        <w:widowControl/>
        <w:spacing w:before="0" w:after="0"/>
        <w:jc w:val="both"/>
        <w:rPr>
          <w:b/>
          <w:i/>
          <w:sz w:val="22"/>
          <w:szCs w:val="24"/>
        </w:rPr>
      </w:pPr>
    </w:p>
    <w:p w:rsidR="00D95C60" w:rsidRDefault="00D95C60" w:rsidP="00D95C60">
      <w:pPr>
        <w:widowControl/>
        <w:spacing w:before="0" w:after="0"/>
        <w:ind w:firstLine="567"/>
        <w:jc w:val="both"/>
        <w:rPr>
          <w:rFonts w:ascii="Arial" w:hAnsi="Arial" w:cs="Arial"/>
          <w:b/>
          <w:i/>
          <w:u w:val="single"/>
        </w:rPr>
      </w:pPr>
      <w:r>
        <w:rPr>
          <w:rFonts w:ascii="Arial" w:hAnsi="Arial" w:cs="Arial"/>
          <w:b/>
          <w:i/>
          <w:u w:val="single"/>
        </w:rPr>
        <w:t>изменением налогового законодательства:</w:t>
      </w:r>
    </w:p>
    <w:p w:rsidR="00A06BCF" w:rsidRDefault="00A06BCF" w:rsidP="00D95C60">
      <w:pPr>
        <w:widowControl/>
        <w:spacing w:before="0" w:after="0"/>
        <w:ind w:firstLine="567"/>
        <w:jc w:val="both"/>
        <w:rPr>
          <w:rFonts w:ascii="Arial" w:hAnsi="Arial" w:cs="Arial"/>
          <w:b/>
          <w:i/>
        </w:rPr>
      </w:pPr>
    </w:p>
    <w:p w:rsidR="00D95C60" w:rsidRDefault="00D95C60" w:rsidP="00D95C60">
      <w:pPr>
        <w:widowControl/>
        <w:spacing w:before="0" w:after="0"/>
        <w:ind w:firstLine="567"/>
        <w:jc w:val="both"/>
        <w:rPr>
          <w:rFonts w:ascii="Arial" w:hAnsi="Arial" w:cs="Arial"/>
          <w:b/>
          <w:i/>
        </w:rPr>
      </w:pPr>
      <w:r>
        <w:rPr>
          <w:rFonts w:ascii="Arial" w:hAnsi="Arial" w:cs="Arial"/>
          <w:b/>
          <w:i/>
        </w:rPr>
        <w:t xml:space="preserve">Налоговая политика в отношении жилищного строительства в Российской Федерации, по мнению Эмитента, характеризуется стабильностью и последовательным внедрением налоговых преференций для всех участников рынка. В частности, от обложения НДС освобождены услуги застройщика, оказываемые в соответствии с </w:t>
      </w:r>
      <w:r w:rsidR="00AB1803" w:rsidRPr="00AB1803">
        <w:rPr>
          <w:rFonts w:ascii="Arial" w:hAnsi="Arial" w:cs="Arial"/>
          <w:b/>
          <w:i/>
        </w:rPr>
        <w:t>Законом об участии в долевом строительстве многоквартирных домов и иных объектов недвижимости</w:t>
      </w:r>
      <w:r>
        <w:rPr>
          <w:rFonts w:ascii="Arial" w:hAnsi="Arial" w:cs="Arial"/>
          <w:b/>
          <w:i/>
        </w:rPr>
        <w:t xml:space="preserve">, реализация жилых помещений, увеличен до двух миллионов рублей размер имущественного налогового вычета для граждан, приобретающих жилье (в соответствии с условиями ст. 220 Налогового кодекса Российской Федерации (часть вторая) от 05.08.2000 № 117-ФЗ). </w:t>
      </w:r>
    </w:p>
    <w:p w:rsidR="00D95C60" w:rsidRDefault="00D95C60" w:rsidP="00D95C60">
      <w:pPr>
        <w:widowControl/>
        <w:spacing w:before="0" w:after="0"/>
        <w:ind w:firstLine="567"/>
        <w:jc w:val="both"/>
        <w:rPr>
          <w:rFonts w:ascii="Arial" w:hAnsi="Arial" w:cs="Arial"/>
          <w:b/>
          <w:i/>
        </w:rPr>
      </w:pPr>
      <w:r>
        <w:rPr>
          <w:rFonts w:ascii="Arial" w:hAnsi="Arial" w:cs="Arial"/>
          <w:b/>
          <w:i/>
        </w:rPr>
        <w:t xml:space="preserve">Следует отметить, что Эмитент поставлен на учет в качестве крупнейшего налогоплательщика 02.05.2012 с кодом причины постановки на учет (КПП) 785050001. Эмитент не имеет просроченной задолженности по налогам и сборам в бюджеты всех уровней. </w:t>
      </w:r>
    </w:p>
    <w:p w:rsidR="00D95C60" w:rsidRDefault="00D95C60" w:rsidP="00D95C60">
      <w:pPr>
        <w:widowControl/>
        <w:spacing w:before="0" w:after="0"/>
        <w:ind w:firstLine="567"/>
        <w:jc w:val="both"/>
        <w:rPr>
          <w:rFonts w:ascii="Arial" w:hAnsi="Arial" w:cs="Arial"/>
          <w:b/>
          <w:i/>
        </w:rPr>
      </w:pPr>
      <w:r>
        <w:rPr>
          <w:rFonts w:ascii="Arial" w:hAnsi="Arial" w:cs="Arial"/>
          <w:b/>
          <w:i/>
        </w:rPr>
        <w:t>На дату утверждения настоящего Проспек</w:t>
      </w:r>
      <w:r w:rsidR="008E0DCD">
        <w:rPr>
          <w:rFonts w:ascii="Arial" w:hAnsi="Arial" w:cs="Arial"/>
          <w:b/>
          <w:i/>
        </w:rPr>
        <w:t>т</w:t>
      </w:r>
      <w:r>
        <w:rPr>
          <w:rFonts w:ascii="Arial" w:hAnsi="Arial" w:cs="Arial"/>
          <w:b/>
          <w:i/>
        </w:rPr>
        <w:t xml:space="preserve">а Эмитент не обладает информацией об изменении налогового законодательства, способного оказать существенное влияние на основную хозяйственную деятельность Эмитента. </w:t>
      </w:r>
    </w:p>
    <w:p w:rsidR="00D95C60" w:rsidRDefault="00D95C60" w:rsidP="00D95C60">
      <w:pPr>
        <w:widowControl/>
        <w:spacing w:before="0" w:after="0"/>
        <w:ind w:firstLine="567"/>
        <w:jc w:val="both"/>
        <w:rPr>
          <w:rFonts w:ascii="Arial" w:hAnsi="Arial" w:cs="Arial"/>
          <w:b/>
          <w:i/>
        </w:rPr>
      </w:pPr>
      <w:r>
        <w:rPr>
          <w:rFonts w:ascii="Arial" w:hAnsi="Arial" w:cs="Arial"/>
          <w:b/>
          <w:i/>
        </w:rPr>
        <w:t>Принимая во внимание указанное, риски, связанные с изменением налогового законодательства, могут рассматриваться как минимальные в рамках деятельности Эмитента как добросовестного налогоплательщика. Тем не менее, возможное повышение в будущем налоговой нагрузки на юридических лиц, обусловленное изменением законодательства, может оказать негативное влияние на показатели эффективности деятельности Эмитента.</w:t>
      </w:r>
    </w:p>
    <w:p w:rsidR="00D95C60" w:rsidRDefault="00D95C60" w:rsidP="00D95C60">
      <w:pPr>
        <w:widowControl/>
        <w:spacing w:before="0" w:after="0"/>
        <w:jc w:val="both"/>
        <w:rPr>
          <w:b/>
          <w:i/>
          <w:sz w:val="22"/>
          <w:szCs w:val="24"/>
        </w:rPr>
      </w:pPr>
    </w:p>
    <w:p w:rsidR="00D95C60" w:rsidRDefault="00D95C60" w:rsidP="00D95C60">
      <w:pPr>
        <w:widowControl/>
        <w:spacing w:before="0" w:after="0"/>
        <w:ind w:firstLine="567"/>
        <w:jc w:val="both"/>
        <w:rPr>
          <w:rFonts w:ascii="Arial" w:hAnsi="Arial" w:cs="Arial"/>
          <w:b/>
          <w:i/>
          <w:u w:val="single"/>
        </w:rPr>
      </w:pPr>
      <w:r>
        <w:rPr>
          <w:rFonts w:ascii="Arial" w:hAnsi="Arial" w:cs="Arial"/>
          <w:b/>
          <w:i/>
          <w:u w:val="single"/>
        </w:rPr>
        <w:t>изменением правил таможенного контроля и пошлин:</w:t>
      </w:r>
    </w:p>
    <w:p w:rsidR="00A06BCF" w:rsidRDefault="00A06BCF" w:rsidP="00D95C60">
      <w:pPr>
        <w:widowControl/>
        <w:spacing w:before="0" w:after="0"/>
        <w:ind w:firstLine="567"/>
        <w:jc w:val="both"/>
        <w:rPr>
          <w:rFonts w:ascii="Arial" w:hAnsi="Arial" w:cs="Arial"/>
          <w:b/>
          <w:i/>
        </w:rPr>
      </w:pPr>
    </w:p>
    <w:p w:rsidR="00D95C60" w:rsidRDefault="00D95C60" w:rsidP="00D95C60">
      <w:pPr>
        <w:widowControl/>
        <w:spacing w:before="0" w:after="0"/>
        <w:ind w:firstLine="567"/>
        <w:jc w:val="both"/>
        <w:rPr>
          <w:rFonts w:ascii="Arial" w:hAnsi="Arial" w:cs="Arial"/>
          <w:b/>
          <w:i/>
        </w:rPr>
      </w:pPr>
      <w:r>
        <w:rPr>
          <w:rFonts w:ascii="Arial" w:hAnsi="Arial" w:cs="Arial"/>
          <w:b/>
          <w:i/>
        </w:rPr>
        <w:t>Эмитент оценивает как несущественный риск влияния на деятельность Эмитента изменения правил таможенного контроля и пошлин.</w:t>
      </w:r>
    </w:p>
    <w:p w:rsidR="00D95C60" w:rsidRDefault="00D95C60" w:rsidP="00D95C60">
      <w:pPr>
        <w:widowControl/>
        <w:spacing w:before="0" w:after="0"/>
        <w:jc w:val="both"/>
        <w:rPr>
          <w:b/>
          <w:i/>
          <w:sz w:val="22"/>
          <w:szCs w:val="24"/>
        </w:rPr>
      </w:pPr>
    </w:p>
    <w:p w:rsidR="00D95C60" w:rsidRDefault="00D95C60" w:rsidP="00D95C60">
      <w:pPr>
        <w:widowControl/>
        <w:spacing w:before="0" w:after="0"/>
        <w:ind w:firstLine="567"/>
        <w:jc w:val="both"/>
        <w:rPr>
          <w:rFonts w:ascii="Arial" w:hAnsi="Arial" w:cs="Arial"/>
          <w:b/>
          <w:i/>
          <w:u w:val="single"/>
        </w:rPr>
      </w:pPr>
      <w:r>
        <w:rPr>
          <w:rFonts w:ascii="Arial" w:hAnsi="Arial" w:cs="Arial"/>
          <w:b/>
          <w:i/>
          <w:u w:val="single"/>
        </w:rPr>
        <w:t>изменением требований по лицензированию основной деятельности Эмитента либо лицензированию прав пользования объектами, нахождение которых в обороте ограничено (включая природные ресурсы):</w:t>
      </w:r>
    </w:p>
    <w:p w:rsidR="00A06BCF" w:rsidRDefault="00A06BCF" w:rsidP="00D95C60">
      <w:pPr>
        <w:widowControl/>
        <w:spacing w:before="0" w:after="0"/>
        <w:ind w:firstLine="567"/>
        <w:jc w:val="both"/>
        <w:rPr>
          <w:rFonts w:ascii="Arial" w:hAnsi="Arial" w:cs="Arial"/>
          <w:b/>
          <w:i/>
        </w:rPr>
      </w:pPr>
    </w:p>
    <w:p w:rsidR="00D95C60" w:rsidRDefault="00D95C60" w:rsidP="00D95C60">
      <w:pPr>
        <w:widowControl/>
        <w:spacing w:before="0" w:after="0"/>
        <w:ind w:firstLine="567"/>
        <w:jc w:val="both"/>
        <w:rPr>
          <w:rFonts w:ascii="Arial" w:hAnsi="Arial" w:cs="Arial"/>
          <w:b/>
          <w:i/>
        </w:rPr>
      </w:pPr>
      <w:r>
        <w:rPr>
          <w:rFonts w:ascii="Arial" w:hAnsi="Arial" w:cs="Arial"/>
          <w:b/>
          <w:i/>
        </w:rPr>
        <w:t xml:space="preserve">На дату </w:t>
      </w:r>
      <w:r w:rsidR="0058502A">
        <w:rPr>
          <w:rFonts w:ascii="Arial" w:hAnsi="Arial" w:cs="Arial"/>
          <w:b/>
          <w:i/>
        </w:rPr>
        <w:t xml:space="preserve">утверждения Проспекта ценных бумаг </w:t>
      </w:r>
      <w:r>
        <w:rPr>
          <w:rFonts w:ascii="Arial" w:hAnsi="Arial" w:cs="Arial"/>
          <w:b/>
          <w:i/>
        </w:rPr>
        <w:t xml:space="preserve">основная деятельность Эмитента не подлежит лицензированию. Эмитент не использует объекты, нахождение которых в обороте ограничено (включая природные ресурсы). </w:t>
      </w:r>
    </w:p>
    <w:p w:rsidR="00D95C60" w:rsidRDefault="00D95C60" w:rsidP="00D95C60">
      <w:pPr>
        <w:widowControl/>
        <w:spacing w:before="0" w:after="0"/>
        <w:jc w:val="both"/>
        <w:rPr>
          <w:b/>
          <w:i/>
          <w:sz w:val="22"/>
          <w:szCs w:val="24"/>
        </w:rPr>
      </w:pPr>
    </w:p>
    <w:p w:rsidR="00D95C60" w:rsidRDefault="00D95C60" w:rsidP="00D95C60">
      <w:pPr>
        <w:widowControl/>
        <w:spacing w:before="0" w:after="0"/>
        <w:ind w:firstLine="567"/>
        <w:jc w:val="both"/>
        <w:rPr>
          <w:rFonts w:ascii="Arial" w:hAnsi="Arial" w:cs="Arial"/>
          <w:b/>
          <w:i/>
          <w:u w:val="single"/>
        </w:rPr>
      </w:pPr>
      <w:r>
        <w:rPr>
          <w:rFonts w:ascii="Arial" w:hAnsi="Arial" w:cs="Arial"/>
          <w:b/>
          <w:i/>
          <w:u w:val="single"/>
        </w:rPr>
        <w:t>изменением судебной практики по вопросам, связанным с деятельностью Эмитента (в том числе по вопросам лицензирования), которые могут негативно сказаться на результатах его деятельности, а также на результаты текущих судебных процессов, в которых участвует Эмитент:</w:t>
      </w:r>
    </w:p>
    <w:p w:rsidR="00A06BCF" w:rsidRDefault="00A06BCF" w:rsidP="00D95C60">
      <w:pPr>
        <w:widowControl/>
        <w:spacing w:before="0" w:after="0"/>
        <w:ind w:firstLine="567"/>
        <w:jc w:val="both"/>
        <w:rPr>
          <w:rFonts w:ascii="Arial" w:hAnsi="Arial" w:cs="Arial"/>
          <w:b/>
          <w:i/>
        </w:rPr>
      </w:pPr>
    </w:p>
    <w:p w:rsidR="00D95C60" w:rsidRDefault="00D95C60" w:rsidP="00D95C60">
      <w:pPr>
        <w:widowControl/>
        <w:spacing w:before="0" w:after="0"/>
        <w:ind w:firstLine="567"/>
        <w:jc w:val="both"/>
        <w:rPr>
          <w:rFonts w:ascii="Arial" w:hAnsi="Arial" w:cs="Arial"/>
          <w:b/>
          <w:i/>
        </w:rPr>
      </w:pPr>
      <w:r>
        <w:rPr>
          <w:rFonts w:ascii="Arial" w:hAnsi="Arial" w:cs="Arial"/>
          <w:b/>
          <w:i/>
        </w:rPr>
        <w:t>В настоящее время Эмитент не участвует в судебных процессах, которые могут негативно сказаться на результатах его деятельности. Вместе с тем, учитывая широкое применение правовых позиций высших судов при анализе и применении положений законодательства, резкое изменение судебной практики по ключевым для Эмитента вопросам способно оказать влияние на деятельность Эмитента. На дату утверждения Проспекта ценных бумаг Эмитент не обладает информацией об изменениях судебной практики, способной оказать существенное влияние на деятельность Эмитента.</w:t>
      </w:r>
    </w:p>
    <w:p w:rsidR="00D95C60" w:rsidRDefault="00D95C60" w:rsidP="00D95C60">
      <w:pPr>
        <w:widowControl/>
        <w:spacing w:before="0" w:after="0"/>
        <w:jc w:val="both"/>
        <w:rPr>
          <w:b/>
          <w:i/>
          <w:sz w:val="22"/>
          <w:szCs w:val="24"/>
        </w:rPr>
      </w:pPr>
    </w:p>
    <w:p w:rsidR="00D95C60" w:rsidRDefault="00D95C60" w:rsidP="00D95C60">
      <w:pPr>
        <w:widowControl/>
        <w:spacing w:before="0" w:after="0"/>
        <w:ind w:firstLine="567"/>
        <w:jc w:val="both"/>
        <w:rPr>
          <w:rFonts w:ascii="Arial" w:hAnsi="Arial" w:cs="Arial"/>
          <w:b/>
          <w:i/>
          <w:u w:val="single"/>
        </w:rPr>
      </w:pPr>
      <w:r>
        <w:rPr>
          <w:rFonts w:ascii="Arial" w:hAnsi="Arial" w:cs="Arial"/>
          <w:b/>
          <w:i/>
          <w:u w:val="single"/>
        </w:rPr>
        <w:t>иные риски (риски, связанные с изменением административных процедур на всех стадиях осуществления строительства):</w:t>
      </w:r>
    </w:p>
    <w:p w:rsidR="00D95C60" w:rsidRPr="00EF4CA1" w:rsidRDefault="00D95C60" w:rsidP="00D95C60">
      <w:pPr>
        <w:widowControl/>
        <w:spacing w:before="0" w:after="0"/>
        <w:ind w:firstLine="567"/>
        <w:jc w:val="both"/>
        <w:rPr>
          <w:rFonts w:ascii="Arial" w:hAnsi="Arial" w:cs="Arial"/>
          <w:b/>
          <w:i/>
        </w:rPr>
      </w:pPr>
      <w:r>
        <w:rPr>
          <w:rFonts w:ascii="Arial" w:hAnsi="Arial" w:cs="Arial"/>
          <w:b/>
          <w:i/>
        </w:rPr>
        <w:t xml:space="preserve">Эмитент положительно оценивает тенденции к снижению административных </w:t>
      </w:r>
      <w:r w:rsidRPr="00EF4CA1">
        <w:rPr>
          <w:rFonts w:ascii="Arial" w:hAnsi="Arial" w:cs="Arial"/>
          <w:b/>
          <w:i/>
        </w:rPr>
        <w:t xml:space="preserve">процедур в сфере строительства. </w:t>
      </w:r>
    </w:p>
    <w:p w:rsidR="00D95C60" w:rsidRPr="0054796B" w:rsidRDefault="00D95C60" w:rsidP="00D95C60">
      <w:pPr>
        <w:widowControl/>
        <w:spacing w:before="0" w:after="0"/>
        <w:ind w:firstLine="567"/>
        <w:jc w:val="both"/>
        <w:rPr>
          <w:rFonts w:ascii="Arial" w:hAnsi="Arial" w:cs="Arial"/>
          <w:b/>
          <w:i/>
        </w:rPr>
      </w:pPr>
      <w:r w:rsidRPr="0054796B">
        <w:rPr>
          <w:rFonts w:ascii="Arial" w:hAnsi="Arial" w:cs="Arial"/>
          <w:b/>
          <w:i/>
        </w:rPr>
        <w:t xml:space="preserve">В соответствии с Указом Президента РФ от 07.05.2012 № 596 «О долгосрочной государственной экономической политике» Правительство Российской Федерации должно обеспечить существенное сокращение сроков прохождения процедур субъектами предпринимательской деятельности и стоимости этих процедур, в том числе в таких сферах </w:t>
      </w:r>
      <w:r w:rsidRPr="00E907ED">
        <w:rPr>
          <w:rFonts w:ascii="Arial" w:hAnsi="Arial" w:cs="Arial"/>
          <w:b/>
          <w:i/>
        </w:rPr>
        <w:t>государственного регулирования, как строительство и подключение к сетям. Во исполнение данного указа было принято распоряжение Правительства РФ от 29.07.2013 № 1336-р утвердившее План мероприятий («дорожная карта») «Совершенствование правового регулировани</w:t>
      </w:r>
      <w:r w:rsidRPr="00EF4CA1">
        <w:rPr>
          <w:rFonts w:ascii="Arial" w:hAnsi="Arial" w:cs="Arial"/>
          <w:b/>
          <w:i/>
        </w:rPr>
        <w:t xml:space="preserve">я градостроительной деятельности и улучшение предпринимательского климата в сфере строительства» со сроком реализации, </w:t>
      </w:r>
      <w:r w:rsidRPr="0057057C">
        <w:rPr>
          <w:rFonts w:ascii="Arial" w:hAnsi="Arial" w:cs="Arial"/>
          <w:b/>
          <w:i/>
        </w:rPr>
        <w:t xml:space="preserve">согласно действующей </w:t>
      </w:r>
      <w:r w:rsidRPr="00D95C60">
        <w:rPr>
          <w:rFonts w:ascii="Arial" w:hAnsi="Arial" w:cs="Arial"/>
          <w:b/>
          <w:i/>
        </w:rPr>
        <w:t xml:space="preserve">редакции на </w:t>
      </w:r>
      <w:r>
        <w:rPr>
          <w:rFonts w:ascii="Arial" w:hAnsi="Arial" w:cs="Arial"/>
          <w:b/>
          <w:i/>
        </w:rPr>
        <w:t>дату утверждения настоящего Проспекта</w:t>
      </w:r>
      <w:r w:rsidRPr="0054796B">
        <w:rPr>
          <w:rFonts w:ascii="Arial" w:hAnsi="Arial" w:cs="Arial"/>
          <w:b/>
          <w:i/>
        </w:rPr>
        <w:t xml:space="preserve">, </w:t>
      </w:r>
      <w:r>
        <w:rPr>
          <w:rFonts w:ascii="Arial" w:hAnsi="Arial" w:cs="Arial"/>
          <w:b/>
          <w:i/>
        </w:rPr>
        <w:t xml:space="preserve">до </w:t>
      </w:r>
      <w:r w:rsidRPr="0054796B">
        <w:rPr>
          <w:rFonts w:ascii="Arial" w:hAnsi="Arial" w:cs="Arial"/>
          <w:b/>
          <w:i/>
        </w:rPr>
        <w:t>201</w:t>
      </w:r>
      <w:r>
        <w:rPr>
          <w:rFonts w:ascii="Arial" w:hAnsi="Arial" w:cs="Arial"/>
          <w:b/>
          <w:i/>
        </w:rPr>
        <w:t>8</w:t>
      </w:r>
      <w:r w:rsidRPr="0054796B">
        <w:rPr>
          <w:rFonts w:ascii="Arial" w:hAnsi="Arial" w:cs="Arial"/>
          <w:b/>
          <w:i/>
        </w:rPr>
        <w:t xml:space="preserve"> г.</w:t>
      </w:r>
    </w:p>
    <w:p w:rsidR="00D95C60" w:rsidRPr="0054796B" w:rsidRDefault="00D95C60" w:rsidP="00D95C60">
      <w:pPr>
        <w:widowControl/>
        <w:spacing w:before="0" w:after="0"/>
        <w:ind w:firstLine="567"/>
        <w:jc w:val="both"/>
        <w:rPr>
          <w:rFonts w:ascii="Arial" w:hAnsi="Arial" w:cs="Arial"/>
          <w:b/>
          <w:i/>
        </w:rPr>
      </w:pPr>
      <w:r w:rsidRPr="0054796B">
        <w:rPr>
          <w:rFonts w:ascii="Arial" w:hAnsi="Arial" w:cs="Arial"/>
          <w:b/>
          <w:i/>
        </w:rPr>
        <w:t>Реализация дорожной карты призвана улучшить предпринимательский климат в сфере градостроительной деятельности, в том числе упростить процессы осуществления строительства от стадии подготовки градостроительной документации до ввода объектов в эксплуатацию и регистрации прав собственности.</w:t>
      </w:r>
    </w:p>
    <w:p w:rsidR="00D95C60" w:rsidRPr="00FE2534" w:rsidRDefault="00201C9F" w:rsidP="00D95C60">
      <w:pPr>
        <w:widowControl/>
        <w:spacing w:before="0" w:after="0"/>
        <w:ind w:firstLine="720"/>
        <w:jc w:val="both"/>
        <w:rPr>
          <w:rFonts w:ascii="Arial" w:hAnsi="Arial" w:cs="Arial"/>
          <w:b/>
          <w:i/>
        </w:rPr>
      </w:pPr>
      <w:r>
        <w:rPr>
          <w:rFonts w:ascii="Arial" w:hAnsi="Arial" w:cs="Arial"/>
          <w:b/>
          <w:i/>
        </w:rPr>
        <w:t>Целями «</w:t>
      </w:r>
      <w:r w:rsidR="00D95C60" w:rsidRPr="00FE2534">
        <w:rPr>
          <w:rFonts w:ascii="Arial" w:hAnsi="Arial" w:cs="Arial"/>
          <w:b/>
          <w:i/>
        </w:rPr>
        <w:t>дорожной карты</w:t>
      </w:r>
      <w:r>
        <w:rPr>
          <w:rFonts w:ascii="Arial" w:hAnsi="Arial" w:cs="Arial"/>
          <w:b/>
          <w:i/>
        </w:rPr>
        <w:t>»</w:t>
      </w:r>
      <w:r w:rsidR="00D95C60" w:rsidRPr="00FE2534">
        <w:rPr>
          <w:rFonts w:ascii="Arial" w:hAnsi="Arial" w:cs="Arial"/>
          <w:b/>
          <w:i/>
        </w:rPr>
        <w:t xml:space="preserve"> являются:</w:t>
      </w:r>
    </w:p>
    <w:p w:rsidR="00D95C60" w:rsidRPr="00EF4CA1" w:rsidRDefault="00D95C60" w:rsidP="00201C9F">
      <w:pPr>
        <w:pStyle w:val="a9"/>
        <w:widowControl/>
        <w:numPr>
          <w:ilvl w:val="0"/>
          <w:numId w:val="2"/>
        </w:numPr>
        <w:spacing w:before="0" w:after="0"/>
        <w:ind w:left="0" w:firstLine="567"/>
        <w:jc w:val="both"/>
        <w:rPr>
          <w:rFonts w:ascii="Arial" w:hAnsi="Arial" w:cs="Arial"/>
          <w:b/>
          <w:i/>
        </w:rPr>
      </w:pPr>
      <w:r w:rsidRPr="00EF4CA1">
        <w:rPr>
          <w:rFonts w:ascii="Arial" w:hAnsi="Arial" w:cs="Arial"/>
          <w:b/>
          <w:i/>
        </w:rPr>
        <w:t>•упрощение градостроительной подготовки земельных участков;</w:t>
      </w:r>
    </w:p>
    <w:p w:rsidR="00D95C60" w:rsidRPr="00EF4CA1" w:rsidRDefault="00D95C60" w:rsidP="00201C9F">
      <w:pPr>
        <w:pStyle w:val="a9"/>
        <w:widowControl/>
        <w:numPr>
          <w:ilvl w:val="0"/>
          <w:numId w:val="2"/>
        </w:numPr>
        <w:spacing w:before="0" w:after="0"/>
        <w:ind w:left="0" w:firstLine="567"/>
        <w:jc w:val="both"/>
        <w:rPr>
          <w:rFonts w:ascii="Arial" w:hAnsi="Arial" w:cs="Arial"/>
          <w:b/>
          <w:i/>
        </w:rPr>
      </w:pPr>
      <w:r w:rsidRPr="00EF4CA1">
        <w:rPr>
          <w:rFonts w:ascii="Arial" w:hAnsi="Arial" w:cs="Arial"/>
          <w:b/>
          <w:i/>
        </w:rPr>
        <w:t>•совершенствование регуляторной среды;</w:t>
      </w:r>
    </w:p>
    <w:p w:rsidR="00D95C60" w:rsidRPr="00EF4CA1" w:rsidRDefault="00D95C60" w:rsidP="00201C9F">
      <w:pPr>
        <w:pStyle w:val="a9"/>
        <w:widowControl/>
        <w:numPr>
          <w:ilvl w:val="0"/>
          <w:numId w:val="2"/>
        </w:numPr>
        <w:spacing w:before="0" w:after="0"/>
        <w:ind w:left="0" w:firstLine="567"/>
        <w:jc w:val="both"/>
        <w:rPr>
          <w:rFonts w:ascii="Arial" w:hAnsi="Arial" w:cs="Arial"/>
          <w:b/>
          <w:i/>
        </w:rPr>
      </w:pPr>
      <w:r w:rsidRPr="00EF4CA1">
        <w:rPr>
          <w:rFonts w:ascii="Arial" w:hAnsi="Arial" w:cs="Arial"/>
          <w:b/>
          <w:i/>
        </w:rPr>
        <w:t>•</w:t>
      </w:r>
      <w:r w:rsidRPr="007F4506">
        <w:rPr>
          <w:rFonts w:ascii="Arial" w:eastAsiaTheme="minorHAnsi" w:hAnsi="Arial" w:cs="Arial"/>
          <w:b/>
          <w:bCs/>
          <w:i/>
          <w:iCs/>
          <w:lang w:eastAsia="en-US"/>
        </w:rPr>
        <w:t>сокращение административных барьеров в строительстве, включая сокращение количества процедур, связанных с реализацией инвестиционно-строительных проектов, а также совокупного времени и расходов на их прохождение</w:t>
      </w:r>
      <w:r w:rsidRPr="00EF4CA1">
        <w:rPr>
          <w:rFonts w:ascii="Arial" w:hAnsi="Arial" w:cs="Arial"/>
          <w:b/>
          <w:i/>
        </w:rPr>
        <w:t>.</w:t>
      </w:r>
    </w:p>
    <w:p w:rsidR="00D95C60" w:rsidRPr="007E1E20" w:rsidRDefault="00D95C60" w:rsidP="00D95C60">
      <w:pPr>
        <w:widowControl/>
        <w:spacing w:before="0" w:after="0"/>
        <w:ind w:firstLine="567"/>
        <w:jc w:val="both"/>
        <w:rPr>
          <w:rFonts w:ascii="Arial" w:hAnsi="Arial" w:cs="Arial"/>
          <w:b/>
          <w:i/>
        </w:rPr>
      </w:pPr>
      <w:r>
        <w:rPr>
          <w:rFonts w:ascii="Arial" w:hAnsi="Arial" w:cs="Arial"/>
          <w:b/>
          <w:i/>
        </w:rPr>
        <w:t>В качестве контрольного показателя успешной реализации «дорожной карты» выбран, в том числе, рейтинг Doing Business, подготавливаемый Всемирным банком на ежегодной основе. Целевым ориентиром реализации «дорожной карты» избрано достижение Российской Федерацией 34 позиции этого рейтинга по показателю «Получение разрешения на строительство».</w:t>
      </w:r>
    </w:p>
    <w:p w:rsidR="00895DFB" w:rsidRPr="00DA6BAE" w:rsidRDefault="00895DFB" w:rsidP="00DA6BAE">
      <w:pPr>
        <w:widowControl/>
        <w:spacing w:before="0" w:after="0"/>
        <w:ind w:firstLine="567"/>
        <w:jc w:val="both"/>
        <w:rPr>
          <w:rFonts w:ascii="Arial" w:hAnsi="Arial" w:cs="Arial"/>
          <w:b/>
          <w:i/>
        </w:rPr>
      </w:pPr>
      <w:r w:rsidRPr="00DA6BAE">
        <w:rPr>
          <w:rFonts w:ascii="Arial" w:hAnsi="Arial" w:cs="Arial"/>
          <w:b/>
          <w:i/>
        </w:rPr>
        <w:t>Необходимо отметить, что следующие изменения правового регулирования могут оказать негативное влияние на отрасль массового жилищного строительства и, в частности, на деятельность Эмитента:</w:t>
      </w:r>
    </w:p>
    <w:p w:rsidR="00895DFB" w:rsidRPr="00DA6BAE" w:rsidRDefault="00895DFB" w:rsidP="00895DFB">
      <w:pPr>
        <w:pStyle w:val="a3"/>
        <w:numPr>
          <w:ilvl w:val="0"/>
          <w:numId w:val="2"/>
        </w:numPr>
        <w:ind w:left="0" w:firstLine="567"/>
        <w:jc w:val="both"/>
        <w:rPr>
          <w:rFonts w:ascii="Arial" w:hAnsi="Arial" w:cs="Arial"/>
          <w:b/>
          <w:bCs/>
          <w:i/>
          <w:iCs/>
        </w:rPr>
      </w:pPr>
      <w:r w:rsidRPr="00DA6BAE">
        <w:rPr>
          <w:rFonts w:ascii="Arial" w:hAnsi="Arial" w:cs="Arial"/>
          <w:b/>
          <w:bCs/>
          <w:i/>
          <w:iCs/>
        </w:rPr>
        <w:t>предлагаемая Правительством РФ реформа существующей системы долевого строительства в период 2016-2020 гг. вплоть до полной отмены возможности привлечения средств физических лиц на стадии строительства. Очевидно, что в случае реализации предлагаемых изменений застройщики лишатся одного из существенных источников финансирования строительства и будут вынуждены осуществлять строительство только за счет привлечения банковских средств, что в свою очередь, как минимум приведет к удорожанию строительства жилой недвижимости;</w:t>
      </w:r>
    </w:p>
    <w:p w:rsidR="00895DFB" w:rsidRPr="00DA6BAE" w:rsidRDefault="00895DFB" w:rsidP="00895DFB">
      <w:pPr>
        <w:pStyle w:val="a3"/>
        <w:numPr>
          <w:ilvl w:val="0"/>
          <w:numId w:val="2"/>
        </w:numPr>
        <w:ind w:left="0" w:firstLine="567"/>
        <w:jc w:val="both"/>
        <w:rPr>
          <w:rFonts w:ascii="Arial" w:hAnsi="Arial" w:cs="Arial"/>
          <w:b/>
          <w:bCs/>
          <w:i/>
          <w:iCs/>
        </w:rPr>
      </w:pPr>
      <w:r w:rsidRPr="00DA6BAE">
        <w:rPr>
          <w:rFonts w:ascii="Arial" w:hAnsi="Arial" w:cs="Arial"/>
          <w:b/>
          <w:bCs/>
          <w:i/>
          <w:iCs/>
        </w:rPr>
        <w:t>завершение государственной программы субсидирования процентных ставок по ипотеке в условиях нестабильной макроэкономической ситуации и находящейся на высоком уровне ключевой ставки;</w:t>
      </w:r>
    </w:p>
    <w:p w:rsidR="00895DFB" w:rsidRPr="00DA6BAE" w:rsidRDefault="00895DFB" w:rsidP="00895DFB">
      <w:pPr>
        <w:pStyle w:val="a3"/>
        <w:numPr>
          <w:ilvl w:val="0"/>
          <w:numId w:val="2"/>
        </w:numPr>
        <w:ind w:left="0" w:firstLine="567"/>
        <w:jc w:val="both"/>
        <w:rPr>
          <w:rFonts w:ascii="Arial" w:hAnsi="Arial" w:cs="Arial"/>
          <w:b/>
          <w:bCs/>
          <w:i/>
          <w:iCs/>
        </w:rPr>
      </w:pPr>
      <w:r w:rsidRPr="00DA6BAE">
        <w:rPr>
          <w:rFonts w:ascii="Arial" w:hAnsi="Arial" w:cs="Arial"/>
          <w:b/>
          <w:bCs/>
          <w:i/>
          <w:iCs/>
        </w:rPr>
        <w:t>существенное изменение высотных ограничений застройки.</w:t>
      </w:r>
    </w:p>
    <w:p w:rsidR="000647F2" w:rsidRDefault="000647F2" w:rsidP="000647F2">
      <w:pPr>
        <w:pStyle w:val="ConsPlusNormal"/>
        <w:jc w:val="both"/>
        <w:rPr>
          <w:rFonts w:ascii="Times New Roman" w:hAnsi="Times New Roman" w:cs="Times New Roman"/>
        </w:rPr>
      </w:pPr>
    </w:p>
    <w:p w:rsidR="000647F2" w:rsidRPr="00A859AF" w:rsidRDefault="000647F2" w:rsidP="000647F2">
      <w:pPr>
        <w:pStyle w:val="ConsPlusNormal"/>
        <w:ind w:firstLine="540"/>
        <w:jc w:val="both"/>
        <w:outlineLvl w:val="2"/>
        <w:rPr>
          <w:b/>
          <w:sz w:val="26"/>
          <w:szCs w:val="26"/>
        </w:rPr>
      </w:pPr>
      <w:bookmarkStart w:id="27" w:name="Par223"/>
      <w:bookmarkStart w:id="28" w:name="_Toc448251132"/>
      <w:bookmarkEnd w:id="27"/>
      <w:r w:rsidRPr="00A859AF">
        <w:rPr>
          <w:b/>
          <w:sz w:val="26"/>
          <w:szCs w:val="26"/>
        </w:rPr>
        <w:t>2.5.5. Риск потери деловой репутации (репутационный риск)</w:t>
      </w:r>
      <w:bookmarkEnd w:id="28"/>
    </w:p>
    <w:p w:rsidR="000647F2" w:rsidRDefault="000647F2" w:rsidP="000647F2">
      <w:pPr>
        <w:pStyle w:val="ConsPlusNormal"/>
        <w:ind w:firstLine="540"/>
        <w:jc w:val="both"/>
        <w:rPr>
          <w:rFonts w:ascii="Times New Roman" w:hAnsi="Times New Roman" w:cs="Times New Roman"/>
        </w:rPr>
      </w:pPr>
    </w:p>
    <w:p w:rsidR="000647F2" w:rsidRDefault="000647F2" w:rsidP="000647F2">
      <w:pPr>
        <w:pStyle w:val="ConsPlusNormal"/>
        <w:ind w:firstLine="540"/>
        <w:jc w:val="both"/>
        <w:rPr>
          <w:rFonts w:ascii="Times New Roman" w:hAnsi="Times New Roman" w:cs="Times New Roman"/>
        </w:rPr>
      </w:pPr>
      <w:r>
        <w:rPr>
          <w:rFonts w:ascii="Times New Roman" w:hAnsi="Times New Roman" w:cs="Times New Roman"/>
        </w:rPr>
        <w:t>Описывается риск возникновения у эмитента убытков в результате уменьшения числа клиентов (контрагентов) вследствие</w:t>
      </w:r>
    </w:p>
    <w:p w:rsidR="00A06BCF" w:rsidRDefault="00A06BCF" w:rsidP="000647F2">
      <w:pPr>
        <w:pStyle w:val="ConsPlusNormal"/>
        <w:ind w:firstLine="540"/>
        <w:jc w:val="both"/>
        <w:rPr>
          <w:rFonts w:ascii="Times New Roman" w:hAnsi="Times New Roman" w:cs="Times New Roman"/>
          <w:u w:val="single"/>
        </w:rPr>
      </w:pPr>
    </w:p>
    <w:p w:rsidR="000647F2" w:rsidRDefault="000647F2" w:rsidP="000647F2">
      <w:pPr>
        <w:pStyle w:val="ConsPlusNormal"/>
        <w:ind w:firstLine="540"/>
        <w:jc w:val="both"/>
        <w:rPr>
          <w:rFonts w:ascii="Times New Roman" w:hAnsi="Times New Roman" w:cs="Times New Roman"/>
        </w:rPr>
      </w:pPr>
      <w:r>
        <w:rPr>
          <w:rFonts w:ascii="Times New Roman" w:hAnsi="Times New Roman" w:cs="Times New Roman"/>
          <w:u w:val="single"/>
        </w:rPr>
        <w:t>формирования негативного представления о финансовой устойчивости, финансовом положении Эмитента:</w:t>
      </w:r>
      <w:r>
        <w:rPr>
          <w:rFonts w:ascii="Times New Roman" w:hAnsi="Times New Roman" w:cs="Times New Roman"/>
        </w:rPr>
        <w:t xml:space="preserve"> качестве его продукции (работ, услуг) или характере его деятельности в целом:</w:t>
      </w:r>
    </w:p>
    <w:p w:rsidR="000647F2" w:rsidRDefault="000647F2" w:rsidP="000647F2">
      <w:pPr>
        <w:widowControl/>
        <w:spacing w:before="0" w:after="0"/>
        <w:ind w:firstLine="567"/>
        <w:jc w:val="both"/>
        <w:rPr>
          <w:rFonts w:ascii="Arial" w:hAnsi="Arial" w:cs="Arial"/>
          <w:b/>
          <w:i/>
        </w:rPr>
      </w:pPr>
    </w:p>
    <w:p w:rsidR="00F5271E" w:rsidRDefault="00F5271E" w:rsidP="00F5271E">
      <w:pPr>
        <w:widowControl/>
        <w:spacing w:before="0" w:after="0"/>
        <w:ind w:firstLine="567"/>
        <w:jc w:val="both"/>
        <w:rPr>
          <w:rFonts w:ascii="Arial" w:hAnsi="Arial" w:cs="Arial"/>
          <w:b/>
          <w:i/>
        </w:rPr>
      </w:pPr>
      <w:r>
        <w:rPr>
          <w:rFonts w:ascii="Arial" w:hAnsi="Arial" w:cs="Arial"/>
          <w:b/>
          <w:i/>
        </w:rPr>
        <w:t xml:space="preserve">Эмитент рассматривает в качестве ключевого вида деятельности осуществление функции Заказчика-Застройщика по реализации инвестиционно-строительных проектов в Санкт-Петербурге, прежде всего в сфере массового жилищного строительства. </w:t>
      </w:r>
    </w:p>
    <w:p w:rsidR="00F5271E" w:rsidRDefault="00F5271E" w:rsidP="00F5271E">
      <w:pPr>
        <w:pStyle w:val="ConsPlusNormal"/>
        <w:ind w:firstLine="540"/>
        <w:jc w:val="both"/>
        <w:rPr>
          <w:rFonts w:ascii="Times New Roman" w:hAnsi="Times New Roman" w:cs="Times New Roman"/>
        </w:rPr>
      </w:pPr>
    </w:p>
    <w:p w:rsidR="00F5271E" w:rsidRDefault="00F5271E" w:rsidP="00F5271E">
      <w:pPr>
        <w:pStyle w:val="ConsPlusNormal"/>
        <w:ind w:firstLine="540"/>
        <w:jc w:val="both"/>
        <w:rPr>
          <w:b/>
          <w:bCs/>
          <w:i/>
          <w:iCs/>
        </w:rPr>
      </w:pPr>
      <w:r>
        <w:rPr>
          <w:b/>
          <w:bCs/>
          <w:i/>
          <w:iCs/>
        </w:rPr>
        <w:t>В соответствии с требованиями законодательства о раскрытии информации Эмитент осуществляет, в том числе, раскрытие информации в форме:</w:t>
      </w:r>
    </w:p>
    <w:p w:rsidR="00F5271E" w:rsidRDefault="00F5271E" w:rsidP="00201C9F">
      <w:pPr>
        <w:pStyle w:val="a9"/>
        <w:widowControl/>
        <w:numPr>
          <w:ilvl w:val="0"/>
          <w:numId w:val="2"/>
        </w:numPr>
        <w:spacing w:before="0" w:after="0"/>
        <w:ind w:left="0" w:firstLine="567"/>
        <w:jc w:val="both"/>
        <w:rPr>
          <w:rFonts w:ascii="Arial" w:hAnsi="Arial" w:cs="Arial"/>
          <w:b/>
          <w:i/>
        </w:rPr>
      </w:pPr>
      <w:r>
        <w:rPr>
          <w:rFonts w:ascii="Arial" w:hAnsi="Arial" w:cs="Arial"/>
          <w:b/>
          <w:i/>
        </w:rPr>
        <w:t>бухгалтерской отчетности, подготовленной в соответствии с РСБУ;</w:t>
      </w:r>
    </w:p>
    <w:p w:rsidR="00F5271E" w:rsidRDefault="00F5271E" w:rsidP="00201C9F">
      <w:pPr>
        <w:pStyle w:val="a9"/>
        <w:widowControl/>
        <w:numPr>
          <w:ilvl w:val="0"/>
          <w:numId w:val="2"/>
        </w:numPr>
        <w:spacing w:before="0" w:after="0"/>
        <w:ind w:left="0" w:firstLine="567"/>
        <w:jc w:val="both"/>
        <w:rPr>
          <w:rFonts w:ascii="Arial" w:hAnsi="Arial" w:cs="Arial"/>
          <w:b/>
          <w:i/>
        </w:rPr>
      </w:pPr>
      <w:r>
        <w:rPr>
          <w:rFonts w:ascii="Arial" w:hAnsi="Arial" w:cs="Arial"/>
          <w:b/>
          <w:i/>
        </w:rPr>
        <w:t>консолидированной финансовой отчетности, подготовленной в соответствии с МСФО;</w:t>
      </w:r>
    </w:p>
    <w:p w:rsidR="00F5271E" w:rsidRDefault="00F5271E" w:rsidP="00201C9F">
      <w:pPr>
        <w:pStyle w:val="a9"/>
        <w:widowControl/>
        <w:numPr>
          <w:ilvl w:val="0"/>
          <w:numId w:val="2"/>
        </w:numPr>
        <w:spacing w:before="0" w:after="0"/>
        <w:ind w:left="0" w:firstLine="567"/>
        <w:jc w:val="both"/>
        <w:rPr>
          <w:rFonts w:ascii="Arial" w:hAnsi="Arial" w:cs="Arial"/>
          <w:b/>
          <w:i/>
        </w:rPr>
      </w:pPr>
      <w:r>
        <w:rPr>
          <w:rFonts w:ascii="Arial" w:hAnsi="Arial" w:cs="Arial"/>
          <w:b/>
          <w:i/>
        </w:rPr>
        <w:t>ежеквартальных отчетов Эмитента.</w:t>
      </w:r>
    </w:p>
    <w:p w:rsidR="00F5271E" w:rsidRDefault="00F5271E" w:rsidP="00F5271E">
      <w:pPr>
        <w:pStyle w:val="ConsPlusNormal"/>
        <w:ind w:firstLine="540"/>
        <w:jc w:val="both"/>
        <w:rPr>
          <w:b/>
          <w:bCs/>
          <w:i/>
          <w:iCs/>
        </w:rPr>
      </w:pPr>
      <w:r>
        <w:rPr>
          <w:b/>
          <w:bCs/>
          <w:i/>
          <w:iCs/>
        </w:rPr>
        <w:t>Дополнительно</w:t>
      </w:r>
      <w:r w:rsidR="00970290">
        <w:rPr>
          <w:b/>
          <w:bCs/>
          <w:i/>
          <w:iCs/>
        </w:rPr>
        <w:t>,</w:t>
      </w:r>
      <w:r>
        <w:rPr>
          <w:b/>
          <w:bCs/>
          <w:i/>
          <w:iCs/>
        </w:rPr>
        <w:t xml:space="preserve"> на дату утверждения Проспекта</w:t>
      </w:r>
      <w:r w:rsidR="00970290">
        <w:rPr>
          <w:b/>
          <w:bCs/>
          <w:i/>
          <w:iCs/>
        </w:rPr>
        <w:t xml:space="preserve"> ценных бумаг,</w:t>
      </w:r>
      <w:r>
        <w:rPr>
          <w:b/>
          <w:bCs/>
          <w:i/>
          <w:iCs/>
        </w:rPr>
        <w:t xml:space="preserve"> на странице в сети интернет Эмитент раскрывает информацию о кредитной истории Эмитента. Следует отметить, что Эмитент обладает устойчивой положительной репутацией на финансовом рынке. Кредитная история Эмитента начинается с 2000 года. Общая сумма привлечённых Эмитентом заёмных средств, как на рынке двухстороннего кредитования, так и на публичном рынке, к 31.12.2015 превысила 90 млрд</w:t>
      </w:r>
      <w:r w:rsidR="00201C9F">
        <w:rPr>
          <w:b/>
          <w:bCs/>
          <w:i/>
          <w:iCs/>
        </w:rPr>
        <w:t>.</w:t>
      </w:r>
      <w:r>
        <w:rPr>
          <w:b/>
          <w:bCs/>
          <w:i/>
          <w:iCs/>
        </w:rPr>
        <w:t xml:space="preserve"> руб. (по курсу на 31.12.2015), при этом просрочек по выплате основной суммы долга или процентов ни по одному из долговых инструментов не было.</w:t>
      </w:r>
    </w:p>
    <w:p w:rsidR="00F5271E" w:rsidRDefault="00F5271E" w:rsidP="00F5271E">
      <w:pPr>
        <w:pStyle w:val="ConsPlusNormal"/>
        <w:ind w:firstLine="540"/>
        <w:jc w:val="both"/>
        <w:rPr>
          <w:b/>
          <w:bCs/>
          <w:i/>
          <w:iCs/>
        </w:rPr>
      </w:pPr>
      <w:r>
        <w:rPr>
          <w:b/>
          <w:bCs/>
          <w:i/>
          <w:iCs/>
        </w:rPr>
        <w:t xml:space="preserve">Таким образом, в свободном доступе находится информация, на основании которой любым лицом могут быть проанализированы финансовая устойчивость и финансовое положение Эмитента. Также следует отметить, что в 2006 году ЗАО ССМО «ЛенСпецСМУ» стала первой строительной компанией в России, получившей кредитный рейтинг международного рейтингового агентства Standard&amp;Poor’s. </w:t>
      </w:r>
    </w:p>
    <w:p w:rsidR="00F5271E" w:rsidRDefault="00F5271E" w:rsidP="00F5271E">
      <w:pPr>
        <w:pStyle w:val="ConsPlusNormal"/>
        <w:ind w:firstLine="540"/>
        <w:jc w:val="both"/>
        <w:rPr>
          <w:b/>
          <w:bCs/>
          <w:i/>
          <w:iCs/>
        </w:rPr>
      </w:pPr>
      <w:r w:rsidRPr="002A3E11">
        <w:rPr>
          <w:b/>
          <w:bCs/>
          <w:i/>
          <w:iCs/>
        </w:rPr>
        <w:t xml:space="preserve">Эмитент, осуществляющий функции застройщика, привлекает денежные средства для строительства на основании договоров участия в долевом строительстве в соответствии с </w:t>
      </w:r>
      <w:r w:rsidR="00B27249" w:rsidRPr="002A3E11">
        <w:rPr>
          <w:b/>
          <w:i/>
        </w:rPr>
        <w:t xml:space="preserve">Законом об участии в долевом строительстве </w:t>
      </w:r>
      <w:r w:rsidR="00B27249" w:rsidRPr="002A3E11">
        <w:rPr>
          <w:b/>
          <w:bCs/>
          <w:i/>
          <w:iCs/>
        </w:rPr>
        <w:t>многоквартирных домов и иных объектов недвижимости</w:t>
      </w:r>
      <w:r w:rsidRPr="002A3E11">
        <w:rPr>
          <w:b/>
          <w:bCs/>
          <w:i/>
          <w:iCs/>
        </w:rPr>
        <w:t xml:space="preserve">. Эмитент несет ответственность, предусмотренную </w:t>
      </w:r>
      <w:r w:rsidR="00B27249" w:rsidRPr="002A3E11">
        <w:rPr>
          <w:b/>
          <w:i/>
        </w:rPr>
        <w:t>Законом об участии в долевом строительстве</w:t>
      </w:r>
      <w:r w:rsidR="002A3E11" w:rsidRPr="002A3E11">
        <w:rPr>
          <w:b/>
          <w:bCs/>
          <w:i/>
          <w:iCs/>
        </w:rPr>
        <w:t xml:space="preserve"> многоквартирных домов и иных объектов недвижимости,</w:t>
      </w:r>
      <w:r w:rsidRPr="002A3E11">
        <w:rPr>
          <w:b/>
          <w:bCs/>
          <w:i/>
          <w:iCs/>
        </w:rPr>
        <w:t xml:space="preserve"> за несоблюдение установленных Постановлением Правительства РФ от 21.04.2006 № 233 «О нормативах оценки финансовой устойчивости деятельности застройщика» нормативов оценки</w:t>
      </w:r>
      <w:r>
        <w:rPr>
          <w:b/>
          <w:bCs/>
          <w:i/>
          <w:iCs/>
        </w:rPr>
        <w:t xml:space="preserve"> финансовой устойчивости его деятельности, а именно:</w:t>
      </w:r>
    </w:p>
    <w:p w:rsidR="00F5271E" w:rsidRDefault="00F5271E" w:rsidP="00B27249">
      <w:pPr>
        <w:pStyle w:val="a9"/>
        <w:widowControl/>
        <w:numPr>
          <w:ilvl w:val="0"/>
          <w:numId w:val="2"/>
        </w:numPr>
        <w:spacing w:before="0" w:after="0"/>
        <w:ind w:left="0" w:firstLine="567"/>
        <w:jc w:val="both"/>
        <w:rPr>
          <w:rFonts w:ascii="Arial" w:hAnsi="Arial" w:cs="Arial"/>
          <w:b/>
          <w:i/>
        </w:rPr>
      </w:pPr>
      <w:r>
        <w:rPr>
          <w:rFonts w:ascii="Arial" w:hAnsi="Arial" w:cs="Arial"/>
          <w:b/>
          <w:i/>
        </w:rPr>
        <w:t>норматив обеспеченности обязательств - не менее 1;</w:t>
      </w:r>
    </w:p>
    <w:p w:rsidR="00F5271E" w:rsidRDefault="00F5271E" w:rsidP="00B27249">
      <w:pPr>
        <w:pStyle w:val="a9"/>
        <w:widowControl/>
        <w:numPr>
          <w:ilvl w:val="0"/>
          <w:numId w:val="2"/>
        </w:numPr>
        <w:spacing w:before="0" w:after="0"/>
        <w:ind w:left="0" w:firstLine="567"/>
        <w:jc w:val="both"/>
        <w:rPr>
          <w:rFonts w:ascii="Arial" w:hAnsi="Arial" w:cs="Arial"/>
          <w:b/>
          <w:i/>
        </w:rPr>
      </w:pPr>
      <w:r>
        <w:rPr>
          <w:rFonts w:ascii="Arial" w:hAnsi="Arial" w:cs="Arial"/>
          <w:b/>
          <w:i/>
        </w:rPr>
        <w:t>норматив целевого использования средств - не более 1;</w:t>
      </w:r>
    </w:p>
    <w:p w:rsidR="00F5271E" w:rsidRDefault="00F5271E" w:rsidP="00B27249">
      <w:pPr>
        <w:pStyle w:val="a9"/>
        <w:widowControl/>
        <w:numPr>
          <w:ilvl w:val="0"/>
          <w:numId w:val="2"/>
        </w:numPr>
        <w:spacing w:before="0" w:after="0"/>
        <w:ind w:left="0" w:firstLine="567"/>
        <w:jc w:val="both"/>
        <w:rPr>
          <w:rFonts w:ascii="Arial" w:hAnsi="Arial" w:cs="Arial"/>
          <w:b/>
          <w:i/>
        </w:rPr>
      </w:pPr>
      <w:r>
        <w:rPr>
          <w:rFonts w:ascii="Arial" w:hAnsi="Arial" w:cs="Arial"/>
          <w:b/>
          <w:i/>
        </w:rPr>
        <w:t>норматив безубыточности - не менее 1.</w:t>
      </w:r>
    </w:p>
    <w:p w:rsidR="00F5271E" w:rsidRDefault="00F5271E" w:rsidP="00F5271E">
      <w:pPr>
        <w:pStyle w:val="ConsPlusNormal"/>
        <w:ind w:firstLine="540"/>
        <w:jc w:val="both"/>
        <w:rPr>
          <w:b/>
          <w:bCs/>
          <w:i/>
          <w:iCs/>
        </w:rPr>
      </w:pPr>
      <w:r>
        <w:rPr>
          <w:b/>
          <w:bCs/>
          <w:i/>
          <w:iCs/>
        </w:rPr>
        <w:t xml:space="preserve">На регулярной основе Эмитент предоставляет указанные сведения (наряду с отчетностью об осуществлении деятельности, связанной с привлечением денежных средств участников долевого строительства) в уполномоченный контролирующий орган (Комитет по строительству Правительства Санкт-Петербурга). Контролирующий орган вправе обратиться в арбитражный суд с заявлением о приостановлении на определенный срок осуществления застройщиком деятельности, связанной с привлечением денежных средств участников долевого строительства для строительства (создания) многоквартирных домов и (или) иных объектов недвижимости, в том числе в случае, если застройщиком не соблюдаются приведенные </w:t>
      </w:r>
      <w:r w:rsidRPr="00F5271E">
        <w:rPr>
          <w:b/>
          <w:bCs/>
          <w:i/>
          <w:iCs/>
        </w:rPr>
        <w:t xml:space="preserve">выше </w:t>
      </w:r>
      <w:hyperlink r:id="rId9" w:history="1">
        <w:r w:rsidRPr="00F5271E">
          <w:rPr>
            <w:rStyle w:val="aa"/>
            <w:b/>
            <w:bCs/>
            <w:i/>
            <w:iCs/>
            <w:color w:val="auto"/>
          </w:rPr>
          <w:t>нормативы</w:t>
        </w:r>
      </w:hyperlink>
      <w:r w:rsidRPr="00F5271E">
        <w:rPr>
          <w:b/>
          <w:bCs/>
          <w:i/>
          <w:iCs/>
        </w:rPr>
        <w:t xml:space="preserve">. </w:t>
      </w:r>
    </w:p>
    <w:p w:rsidR="00F5271E" w:rsidRDefault="00F5271E" w:rsidP="00F5271E">
      <w:pPr>
        <w:pStyle w:val="ConsPlusNormal"/>
        <w:ind w:firstLine="540"/>
        <w:jc w:val="both"/>
        <w:rPr>
          <w:b/>
          <w:bCs/>
          <w:i/>
          <w:iCs/>
        </w:rPr>
      </w:pPr>
      <w:r>
        <w:rPr>
          <w:b/>
          <w:bCs/>
          <w:i/>
          <w:iCs/>
        </w:rPr>
        <w:t xml:space="preserve">Следует отметить, что на официальной странице в сети Интернет Комитета по строительству Правительства Санкт-Петербурга раскрыта, в том числе, информация о застройщиках, допустивших нарушения </w:t>
      </w:r>
      <w:r w:rsidR="00B27249">
        <w:rPr>
          <w:b/>
          <w:i/>
        </w:rPr>
        <w:t xml:space="preserve">Закона об участии в долевом строительстве </w:t>
      </w:r>
      <w:r w:rsidR="00B27249" w:rsidRPr="002C5423">
        <w:rPr>
          <w:b/>
          <w:bCs/>
          <w:i/>
          <w:iCs/>
        </w:rPr>
        <w:t>многоквартирных домов и иных объектов недвижимости</w:t>
      </w:r>
      <w:r>
        <w:rPr>
          <w:b/>
          <w:bCs/>
          <w:i/>
          <w:iCs/>
        </w:rPr>
        <w:t xml:space="preserve">, а также находящихся в состоянии банкротства. Таким образом, любой потенциальный клиент (контрагент) Эмитента может проверить отсутствие Эмитента в указанных списках. </w:t>
      </w:r>
    </w:p>
    <w:p w:rsidR="00F5271E" w:rsidRDefault="00F5271E" w:rsidP="00F5271E">
      <w:pPr>
        <w:pStyle w:val="ConsPlusNormal"/>
        <w:ind w:firstLine="540"/>
        <w:jc w:val="both"/>
        <w:rPr>
          <w:b/>
          <w:bCs/>
          <w:i/>
          <w:iCs/>
        </w:rPr>
      </w:pPr>
      <w:r>
        <w:rPr>
          <w:b/>
          <w:bCs/>
          <w:i/>
          <w:iCs/>
        </w:rPr>
        <w:t>Учитывая изложенное выше и принимая во внимание стабильное финансовое положение, Эмитент оценивает риск возникновения убытков в результате уменьшения числа клиентов (контрагентов) вследствие формирования негативного представления о финансовой устойчивости, финансовом положении Эмитента как минимальный.</w:t>
      </w:r>
    </w:p>
    <w:p w:rsidR="00F5271E" w:rsidRDefault="00F5271E" w:rsidP="00F5271E">
      <w:pPr>
        <w:pStyle w:val="ConsPlusNormal"/>
        <w:jc w:val="both"/>
        <w:rPr>
          <w:rFonts w:ascii="Times New Roman" w:hAnsi="Times New Roman" w:cs="Times New Roman"/>
        </w:rPr>
      </w:pPr>
    </w:p>
    <w:p w:rsidR="00F5271E" w:rsidRDefault="00F5271E" w:rsidP="00F5271E">
      <w:pPr>
        <w:pStyle w:val="ConsPlusNormal"/>
        <w:ind w:firstLine="540"/>
        <w:jc w:val="both"/>
        <w:rPr>
          <w:rFonts w:ascii="Times New Roman" w:hAnsi="Times New Roman" w:cs="Times New Roman"/>
        </w:rPr>
      </w:pPr>
      <w:r>
        <w:rPr>
          <w:rFonts w:ascii="Times New Roman" w:hAnsi="Times New Roman" w:cs="Times New Roman"/>
          <w:u w:val="single"/>
        </w:rPr>
        <w:t>формирования негативного представления о качестве продукции (работ, услуг) Эмитента:</w:t>
      </w:r>
    </w:p>
    <w:p w:rsidR="00F5271E" w:rsidRDefault="00F5271E" w:rsidP="00F5271E">
      <w:pPr>
        <w:pStyle w:val="ConsPlusNormal"/>
        <w:ind w:firstLine="540"/>
        <w:jc w:val="both"/>
        <w:rPr>
          <w:b/>
          <w:bCs/>
          <w:i/>
          <w:iCs/>
        </w:rPr>
      </w:pPr>
    </w:p>
    <w:p w:rsidR="00F5271E" w:rsidRDefault="00F5271E" w:rsidP="00F5271E">
      <w:pPr>
        <w:pStyle w:val="ConsPlusNormal"/>
        <w:ind w:firstLine="540"/>
        <w:jc w:val="both"/>
        <w:rPr>
          <w:b/>
          <w:bCs/>
          <w:i/>
          <w:iCs/>
        </w:rPr>
      </w:pPr>
      <w:r>
        <w:rPr>
          <w:b/>
          <w:bCs/>
          <w:i/>
          <w:iCs/>
        </w:rPr>
        <w:t xml:space="preserve">Эмитент успешно реализовывает утвержденную политику в области качества и экологии, обеспечивая соответствие требованиям международных стандартов  MS ISO 9001: 2008, MS ISO 14001:2004 и постоянно повышает результативность системы менеджмента качества и экологии. </w:t>
      </w:r>
    </w:p>
    <w:p w:rsidR="00F5271E" w:rsidRDefault="00F5271E" w:rsidP="00F5271E">
      <w:pPr>
        <w:pStyle w:val="ConsPlusNormal"/>
        <w:ind w:firstLine="540"/>
        <w:jc w:val="both"/>
        <w:rPr>
          <w:b/>
          <w:bCs/>
          <w:i/>
          <w:iCs/>
        </w:rPr>
      </w:pPr>
      <w:r>
        <w:rPr>
          <w:b/>
          <w:bCs/>
          <w:i/>
          <w:iCs/>
        </w:rPr>
        <w:t xml:space="preserve">Планирование новых проектов строительства Эмитента осуществляется в соответствии с системой 5D BIM (5D Building Information Modeling). BIM охватывает все этапы жизненного цикла сооружения, при этом помимо проектирования и составления рабочей документации, BIM применяется и как инструмент комплексного мониторинга строительства и охраны труда на строительных площадках. </w:t>
      </w:r>
    </w:p>
    <w:p w:rsidR="00F5271E" w:rsidRDefault="00F5271E" w:rsidP="00F5271E">
      <w:pPr>
        <w:pStyle w:val="ConsPlusNormal"/>
        <w:ind w:firstLine="540"/>
        <w:jc w:val="both"/>
        <w:rPr>
          <w:b/>
          <w:bCs/>
          <w:i/>
          <w:iCs/>
        </w:rPr>
      </w:pPr>
      <w:r>
        <w:rPr>
          <w:b/>
          <w:bCs/>
          <w:i/>
          <w:iCs/>
        </w:rPr>
        <w:t>Таким образом, Эмитент оценивает риск возникновения убытков в результате уменьшения числа клиентов (контрагентов) вследствие формирования негативного представления о качестве продукции (работ, услуг) Эмитента как минимальный.</w:t>
      </w:r>
    </w:p>
    <w:p w:rsidR="00F5271E" w:rsidRDefault="00F5271E" w:rsidP="00F5271E">
      <w:pPr>
        <w:widowControl/>
        <w:spacing w:before="0" w:after="0"/>
        <w:ind w:firstLine="360"/>
        <w:jc w:val="both"/>
        <w:rPr>
          <w:sz w:val="22"/>
          <w:szCs w:val="24"/>
        </w:rPr>
      </w:pPr>
    </w:p>
    <w:p w:rsidR="00F5271E" w:rsidRDefault="00F5271E" w:rsidP="00F5271E">
      <w:pPr>
        <w:pStyle w:val="ConsPlusNormal"/>
        <w:ind w:firstLine="540"/>
        <w:jc w:val="both"/>
        <w:rPr>
          <w:rFonts w:ascii="Times New Roman" w:hAnsi="Times New Roman" w:cs="Times New Roman"/>
          <w:u w:val="single"/>
        </w:rPr>
      </w:pPr>
      <w:r>
        <w:rPr>
          <w:rFonts w:ascii="Times New Roman" w:hAnsi="Times New Roman" w:cs="Times New Roman"/>
          <w:u w:val="single"/>
        </w:rPr>
        <w:t>формирования негативного представления о  характере деятельности Эмитента в целом:</w:t>
      </w:r>
    </w:p>
    <w:p w:rsidR="00F5271E" w:rsidRDefault="00F5271E" w:rsidP="00F5271E">
      <w:pPr>
        <w:widowControl/>
        <w:spacing w:before="0" w:after="0"/>
        <w:ind w:firstLine="709"/>
        <w:jc w:val="both"/>
        <w:rPr>
          <w:b/>
          <w:i/>
          <w:sz w:val="22"/>
          <w:szCs w:val="24"/>
        </w:rPr>
      </w:pPr>
    </w:p>
    <w:p w:rsidR="00CA67E7" w:rsidRDefault="00F5271E" w:rsidP="003F6B7E">
      <w:pPr>
        <w:pStyle w:val="ConsPlusNormal"/>
        <w:ind w:firstLine="540"/>
        <w:jc w:val="both"/>
        <w:rPr>
          <w:b/>
          <w:bCs/>
          <w:i/>
          <w:iCs/>
        </w:rPr>
      </w:pPr>
      <w:r>
        <w:rPr>
          <w:b/>
          <w:bCs/>
          <w:i/>
          <w:iCs/>
        </w:rPr>
        <w:t xml:space="preserve">Эмитент за более </w:t>
      </w:r>
      <w:r w:rsidRPr="008540E5">
        <w:rPr>
          <w:b/>
          <w:bCs/>
          <w:i/>
          <w:iCs/>
        </w:rPr>
        <w:t xml:space="preserve">чем 28-летний срок существования реализовал более 165 строительных проектов в Санкт-Петербурге общей жилой </w:t>
      </w:r>
      <w:r>
        <w:rPr>
          <w:b/>
          <w:bCs/>
          <w:i/>
          <w:iCs/>
        </w:rPr>
        <w:t xml:space="preserve">площадью более </w:t>
      </w:r>
      <w:r w:rsidRPr="00FE2534">
        <w:rPr>
          <w:b/>
          <w:bCs/>
          <w:i/>
          <w:iCs/>
        </w:rPr>
        <w:t>3</w:t>
      </w:r>
      <w:r w:rsidRPr="008540E5">
        <w:rPr>
          <w:b/>
          <w:bCs/>
          <w:i/>
          <w:iCs/>
        </w:rPr>
        <w:t>,5 млн</w:t>
      </w:r>
      <w:r w:rsidR="00B27249">
        <w:rPr>
          <w:b/>
          <w:bCs/>
          <w:i/>
          <w:iCs/>
        </w:rPr>
        <w:t>.</w:t>
      </w:r>
      <w:r w:rsidRPr="008540E5">
        <w:rPr>
          <w:b/>
          <w:bCs/>
          <w:i/>
          <w:iCs/>
        </w:rPr>
        <w:t xml:space="preserve"> кв. м. Результаты деятельности Эмитента регулярно получают высокое признание.</w:t>
      </w:r>
      <w:r>
        <w:rPr>
          <w:b/>
          <w:bCs/>
          <w:i/>
          <w:iCs/>
        </w:rPr>
        <w:t xml:space="preserve"> В 2011 году в конкурсе «Строитель года – 2011» (конкурс проходит при участии Правительства Санкт-Петербурга) Эмитент победил в номинации Лучшая компания-застройщик. Жилые комплексы «Молодежный» и «Речной» были признаны </w:t>
      </w:r>
      <w:r w:rsidRPr="0021473D">
        <w:rPr>
          <w:b/>
          <w:bCs/>
          <w:i/>
          <w:iCs/>
        </w:rPr>
        <w:t>«Лучшим объектом жилищного строительства» (в 2013 и 2014г</w:t>
      </w:r>
      <w:r w:rsidR="00B27249">
        <w:rPr>
          <w:b/>
          <w:bCs/>
          <w:i/>
          <w:iCs/>
        </w:rPr>
        <w:t>одах,</w:t>
      </w:r>
      <w:r w:rsidRPr="0021473D">
        <w:rPr>
          <w:b/>
          <w:bCs/>
          <w:i/>
          <w:iCs/>
        </w:rPr>
        <w:t xml:space="preserve"> соответственно). В июле 2015 года в рамках «Национ</w:t>
      </w:r>
      <w:r w:rsidRPr="0059542C">
        <w:rPr>
          <w:b/>
          <w:bCs/>
          <w:i/>
          <w:iCs/>
        </w:rPr>
        <w:t>альной налоговой премии» Эмитент был удостоен</w:t>
      </w:r>
      <w:r>
        <w:rPr>
          <w:b/>
          <w:bCs/>
          <w:i/>
          <w:iCs/>
        </w:rPr>
        <w:t xml:space="preserve"> звания «Предприятия с высокой налоговой культурой», а также отмечен золотым знаком «За налоговый вклад в благополучие России» и почетным дипломом «За образцовую организацию финансового учета».</w:t>
      </w:r>
      <w:r w:rsidR="003F6B7E">
        <w:rPr>
          <w:b/>
          <w:bCs/>
          <w:i/>
          <w:iCs/>
        </w:rPr>
        <w:t xml:space="preserve"> В</w:t>
      </w:r>
      <w:r>
        <w:rPr>
          <w:b/>
          <w:bCs/>
          <w:i/>
          <w:iCs/>
        </w:rPr>
        <w:t>ысокое качество работы Эмитента отмечают его бизнес-партнеры: 22 декабря 2015 г</w:t>
      </w:r>
      <w:r w:rsidR="00B27249">
        <w:rPr>
          <w:b/>
          <w:bCs/>
          <w:i/>
          <w:iCs/>
        </w:rPr>
        <w:t>ода</w:t>
      </w:r>
      <w:r>
        <w:rPr>
          <w:b/>
          <w:bCs/>
          <w:i/>
          <w:iCs/>
        </w:rPr>
        <w:t xml:space="preserve"> Северо-Западный банк ПАО «Сбербанк России» вручил Эмитенту награду в номинации «Долгосрочное сотрудничество». </w:t>
      </w:r>
      <w:r w:rsidR="003F6B7E">
        <w:rPr>
          <w:b/>
          <w:bCs/>
          <w:i/>
          <w:iCs/>
        </w:rPr>
        <w:t xml:space="preserve">Кроме того, по результатам ежегодного рейтингового анализа экономической деятельности и финансовой отчетности субъектов предпринимательской деятельности Эмитент стал лауреатом ежегодной международной премии «Элита национальной экономики – </w:t>
      </w:r>
    </w:p>
    <w:p w:rsidR="003F6B7E" w:rsidRDefault="003F6B7E" w:rsidP="004B240D">
      <w:pPr>
        <w:pStyle w:val="ConsPlusNormal"/>
        <w:jc w:val="both"/>
        <w:rPr>
          <w:b/>
          <w:bCs/>
          <w:i/>
          <w:iCs/>
        </w:rPr>
      </w:pPr>
      <w:r>
        <w:rPr>
          <w:b/>
          <w:bCs/>
          <w:i/>
          <w:iCs/>
        </w:rPr>
        <w:t>2015».</w:t>
      </w:r>
    </w:p>
    <w:p w:rsidR="00F5271E" w:rsidRDefault="00F5271E" w:rsidP="00F5271E">
      <w:pPr>
        <w:pStyle w:val="ConsPlusNormal"/>
        <w:ind w:firstLine="540"/>
        <w:jc w:val="both"/>
        <w:rPr>
          <w:b/>
          <w:bCs/>
          <w:i/>
          <w:iCs/>
        </w:rPr>
      </w:pPr>
      <w:r>
        <w:rPr>
          <w:b/>
          <w:bCs/>
          <w:i/>
          <w:iCs/>
        </w:rPr>
        <w:t>Важной составляющей для поддержания деловой репутации компании является соответствие ее деятельности действующему законодательству. Эмитент строго придерживается установленных законодательством ограничений и предписаний. Так, Эмитент является членом одних из крупнейших СРО Санкт-Петербурга (</w:t>
      </w:r>
      <w:r w:rsidR="003903BA">
        <w:rPr>
          <w:b/>
          <w:bCs/>
          <w:i/>
          <w:iCs/>
        </w:rPr>
        <w:t>СРОА</w:t>
      </w:r>
      <w:r>
        <w:rPr>
          <w:b/>
          <w:bCs/>
          <w:i/>
          <w:iCs/>
        </w:rPr>
        <w:t xml:space="preserve"> «Объединение строителей Санкт-Петербурга», </w:t>
      </w:r>
      <w:r w:rsidR="003903BA">
        <w:rPr>
          <w:b/>
          <w:bCs/>
          <w:i/>
          <w:iCs/>
        </w:rPr>
        <w:t>СРОА</w:t>
      </w:r>
      <w:r>
        <w:rPr>
          <w:b/>
          <w:bCs/>
          <w:i/>
          <w:iCs/>
        </w:rPr>
        <w:t xml:space="preserve"> «Объединение проектировщиков», </w:t>
      </w:r>
      <w:r w:rsidR="003903BA">
        <w:rPr>
          <w:b/>
          <w:bCs/>
          <w:i/>
          <w:iCs/>
        </w:rPr>
        <w:t>СРОА</w:t>
      </w:r>
      <w:r>
        <w:rPr>
          <w:b/>
          <w:bCs/>
          <w:i/>
          <w:iCs/>
        </w:rPr>
        <w:t xml:space="preserve"> «Объединение изыскателей») и имеет все необходимые допуски для работы на строительном рынке.</w:t>
      </w:r>
    </w:p>
    <w:p w:rsidR="00F5271E" w:rsidRDefault="00F5271E" w:rsidP="00F5271E">
      <w:pPr>
        <w:pStyle w:val="ConsPlusNormal"/>
        <w:ind w:firstLine="540"/>
        <w:jc w:val="both"/>
        <w:rPr>
          <w:b/>
          <w:bCs/>
          <w:i/>
          <w:iCs/>
        </w:rPr>
      </w:pPr>
      <w:r>
        <w:rPr>
          <w:b/>
          <w:bCs/>
          <w:i/>
          <w:iCs/>
        </w:rPr>
        <w:t>Учитывая изложенное, Эмитент оценивает риск возникновения убытков в результате уменьшения числа клиентов (контрагентов) вследствие формирования негативного представления о характере деятельности Эмитента в целом как минимальный.</w:t>
      </w:r>
    </w:p>
    <w:p w:rsidR="00F5271E" w:rsidRDefault="00F5271E" w:rsidP="00F5271E">
      <w:pPr>
        <w:pStyle w:val="ConsPlusNormal"/>
        <w:jc w:val="both"/>
        <w:rPr>
          <w:rFonts w:ascii="Times New Roman" w:hAnsi="Times New Roman" w:cs="Times New Roman"/>
        </w:rPr>
      </w:pPr>
    </w:p>
    <w:p w:rsidR="000647F2" w:rsidRPr="00A859AF" w:rsidRDefault="000647F2" w:rsidP="000647F2">
      <w:pPr>
        <w:pStyle w:val="ConsPlusNormal"/>
        <w:ind w:firstLine="540"/>
        <w:jc w:val="both"/>
        <w:outlineLvl w:val="2"/>
        <w:rPr>
          <w:b/>
          <w:sz w:val="26"/>
          <w:szCs w:val="26"/>
        </w:rPr>
      </w:pPr>
      <w:bookmarkStart w:id="29" w:name="_Toc448251133"/>
      <w:r w:rsidRPr="00A859AF">
        <w:rPr>
          <w:b/>
          <w:sz w:val="26"/>
          <w:szCs w:val="26"/>
        </w:rPr>
        <w:t>2.5.6. Стратегический риск</w:t>
      </w:r>
      <w:bookmarkEnd w:id="29"/>
    </w:p>
    <w:p w:rsidR="00A06BCF" w:rsidRDefault="00A06BCF" w:rsidP="000647F2">
      <w:pPr>
        <w:pStyle w:val="ConsPlusNormal"/>
        <w:ind w:firstLine="540"/>
        <w:jc w:val="both"/>
        <w:rPr>
          <w:rFonts w:ascii="Times New Roman" w:hAnsi="Times New Roman" w:cs="Times New Roman"/>
        </w:rPr>
      </w:pPr>
    </w:p>
    <w:p w:rsidR="000647F2" w:rsidRDefault="000647F2" w:rsidP="000647F2">
      <w:pPr>
        <w:pStyle w:val="ConsPlusNormal"/>
        <w:ind w:firstLine="540"/>
        <w:jc w:val="both"/>
        <w:rPr>
          <w:rFonts w:ascii="Times New Roman" w:hAnsi="Times New Roman" w:cs="Times New Roman"/>
        </w:rPr>
      </w:pPr>
      <w:r>
        <w:rPr>
          <w:rFonts w:ascii="Times New Roman" w:hAnsi="Times New Roman" w:cs="Times New Roman"/>
        </w:rPr>
        <w:t>Описывается риск возникновения у эмитента убытков в результате ошибок (недостатков), допущенных при принятии решений, определяющих стратегию деятельности и развития эмитента (стратегическое управление) и выражающихся в неучете или недостаточном учете возможных опасностей, которые могут угрожать деятельности эмитента, неправильном или недостаточно обоснованном определении перспективных направлений деятельности, в которых эмитент может достичь преимущества перед конкурентами, отсутствии или обеспечении в неполном объеме необходимых ресурсов (финансовых, материально-технических, людских) и организационных мер (управленческих решений), которые должны обеспечить достижение стратегических целей деятельности эмитента.</w:t>
      </w:r>
    </w:p>
    <w:p w:rsidR="00A06BCF" w:rsidRDefault="00A06BCF" w:rsidP="000647F2">
      <w:pPr>
        <w:pStyle w:val="ConsPlusNormal"/>
        <w:ind w:firstLine="540"/>
        <w:jc w:val="both"/>
        <w:rPr>
          <w:b/>
          <w:bCs/>
          <w:i/>
          <w:iCs/>
        </w:rPr>
      </w:pPr>
    </w:p>
    <w:p w:rsidR="000647F2" w:rsidRDefault="000647F2" w:rsidP="000647F2">
      <w:pPr>
        <w:pStyle w:val="ConsPlusNormal"/>
        <w:ind w:firstLine="540"/>
        <w:jc w:val="both"/>
        <w:rPr>
          <w:b/>
          <w:bCs/>
          <w:i/>
          <w:iCs/>
        </w:rPr>
      </w:pPr>
      <w:r>
        <w:rPr>
          <w:b/>
          <w:bCs/>
          <w:i/>
          <w:iCs/>
        </w:rPr>
        <w:t>В контексте данного пункта под стратегическим риском понимается риск возникновения у Эмитента убытков, вызванных ошибками (недостатками), допущенными при принятии решений, определяющих стратегию деятельности и развития Эмитента (стратегическое управление), и выражающихся:</w:t>
      </w:r>
    </w:p>
    <w:p w:rsidR="000647F2" w:rsidRDefault="000647F2" w:rsidP="00B27249">
      <w:pPr>
        <w:pStyle w:val="a9"/>
        <w:widowControl/>
        <w:numPr>
          <w:ilvl w:val="0"/>
          <w:numId w:val="2"/>
        </w:numPr>
        <w:spacing w:before="0" w:after="0"/>
        <w:ind w:left="0" w:firstLine="567"/>
        <w:jc w:val="both"/>
        <w:rPr>
          <w:rFonts w:ascii="Arial" w:hAnsi="Arial" w:cs="Arial"/>
          <w:b/>
          <w:i/>
        </w:rPr>
      </w:pPr>
      <w:r>
        <w:rPr>
          <w:rFonts w:ascii="Arial" w:hAnsi="Arial" w:cs="Arial"/>
          <w:b/>
          <w:i/>
        </w:rPr>
        <w:t xml:space="preserve">в неучете или недостаточном учете возможных опасностей, которые могут угрожать деятельности Эмитента; </w:t>
      </w:r>
    </w:p>
    <w:p w:rsidR="000647F2" w:rsidRDefault="000647F2" w:rsidP="00B27249">
      <w:pPr>
        <w:pStyle w:val="a9"/>
        <w:widowControl/>
        <w:numPr>
          <w:ilvl w:val="0"/>
          <w:numId w:val="2"/>
        </w:numPr>
        <w:spacing w:before="0" w:after="0"/>
        <w:ind w:left="0" w:firstLine="567"/>
        <w:jc w:val="both"/>
        <w:rPr>
          <w:rFonts w:ascii="Arial" w:hAnsi="Arial" w:cs="Arial"/>
          <w:b/>
          <w:i/>
        </w:rPr>
      </w:pPr>
      <w:r>
        <w:rPr>
          <w:rFonts w:ascii="Arial" w:hAnsi="Arial" w:cs="Arial"/>
          <w:b/>
          <w:i/>
        </w:rPr>
        <w:t>в отсутствии организационных мер (управленческих решений), которые должны обеспечить достижение стратегических целей деятельности Эмитента;</w:t>
      </w:r>
    </w:p>
    <w:p w:rsidR="000647F2" w:rsidRDefault="000647F2" w:rsidP="00B27249">
      <w:pPr>
        <w:pStyle w:val="a9"/>
        <w:widowControl/>
        <w:numPr>
          <w:ilvl w:val="0"/>
          <w:numId w:val="2"/>
        </w:numPr>
        <w:spacing w:before="0" w:after="0"/>
        <w:ind w:left="0" w:firstLine="567"/>
        <w:jc w:val="both"/>
        <w:rPr>
          <w:rFonts w:ascii="Arial" w:hAnsi="Arial" w:cs="Arial"/>
          <w:b/>
          <w:i/>
        </w:rPr>
      </w:pPr>
      <w:r>
        <w:rPr>
          <w:rFonts w:ascii="Arial" w:hAnsi="Arial" w:cs="Arial"/>
          <w:b/>
          <w:i/>
        </w:rPr>
        <w:t>в отсутствии или обеспечении в неполном объеме необходимых ресурсов (финансовых, материально-технических, людских), которые должны обеспечить достижение стратегических целей деятельности Эмитента;</w:t>
      </w:r>
    </w:p>
    <w:p w:rsidR="000647F2" w:rsidRDefault="000647F2" w:rsidP="00B27249">
      <w:pPr>
        <w:pStyle w:val="a9"/>
        <w:widowControl/>
        <w:numPr>
          <w:ilvl w:val="0"/>
          <w:numId w:val="2"/>
        </w:numPr>
        <w:spacing w:before="0" w:after="0"/>
        <w:ind w:left="0" w:firstLine="567"/>
        <w:jc w:val="both"/>
        <w:rPr>
          <w:rFonts w:ascii="Arial" w:hAnsi="Arial" w:cs="Arial"/>
          <w:b/>
          <w:i/>
        </w:rPr>
      </w:pPr>
      <w:r>
        <w:rPr>
          <w:rFonts w:ascii="Arial" w:hAnsi="Arial" w:cs="Arial"/>
          <w:b/>
          <w:i/>
        </w:rPr>
        <w:t>в неправильном или недостаточно обоснованном определении перспективных направлений деятельности, в которых Эмитент может достичь преимущества перед конкурентами.</w:t>
      </w:r>
    </w:p>
    <w:p w:rsidR="000647F2" w:rsidRDefault="000647F2" w:rsidP="000647F2">
      <w:pPr>
        <w:pStyle w:val="ConsPlusNormal"/>
        <w:ind w:firstLine="540"/>
        <w:jc w:val="both"/>
        <w:rPr>
          <w:b/>
          <w:bCs/>
          <w:i/>
          <w:iCs/>
        </w:rPr>
      </w:pPr>
      <w:r>
        <w:rPr>
          <w:b/>
          <w:bCs/>
          <w:i/>
          <w:iCs/>
        </w:rPr>
        <w:t>Эмитент ведет последовательную работу по минимизации риска по каждому из вышеуказанных направлений.</w:t>
      </w:r>
    </w:p>
    <w:p w:rsidR="000647F2" w:rsidRDefault="000647F2" w:rsidP="000647F2">
      <w:pPr>
        <w:widowControl/>
        <w:spacing w:before="0" w:after="0"/>
        <w:jc w:val="both"/>
        <w:rPr>
          <w:b/>
          <w:i/>
          <w:sz w:val="22"/>
          <w:szCs w:val="24"/>
        </w:rPr>
      </w:pPr>
    </w:p>
    <w:p w:rsidR="000647F2" w:rsidRDefault="000647F2" w:rsidP="000647F2">
      <w:pPr>
        <w:pStyle w:val="ConsPlusNormal"/>
        <w:ind w:firstLine="540"/>
        <w:jc w:val="both"/>
        <w:rPr>
          <w:b/>
          <w:bCs/>
          <w:i/>
          <w:iCs/>
        </w:rPr>
      </w:pPr>
      <w:r>
        <w:rPr>
          <w:b/>
          <w:bCs/>
          <w:i/>
          <w:iCs/>
        </w:rPr>
        <w:t>Для систематической независимой оценки надежности и эффективности системы управления рисками и внутреннего контроля и практики корпоративного управления Эмитент организовывает проведение внутреннего аудита. Внутренний аудит непосредственно осуществляется специальным структурным подразделением - Службой внутреннего аудита. Служба внутреннего аудита направляет сведения о результатах осуществления внутреннего аудита, в том числе отчёты об итогах осуществления внутреннего аудита, Совету директоров Общества и Генеральному директору Общества</w:t>
      </w:r>
      <w:r w:rsidR="00970290">
        <w:rPr>
          <w:b/>
          <w:bCs/>
          <w:i/>
          <w:iCs/>
        </w:rPr>
        <w:t>.</w:t>
      </w:r>
      <w:r>
        <w:rPr>
          <w:b/>
          <w:bCs/>
          <w:i/>
          <w:iCs/>
        </w:rPr>
        <w:t xml:space="preserve"> </w:t>
      </w:r>
    </w:p>
    <w:p w:rsidR="000647F2" w:rsidRDefault="000647F2" w:rsidP="000647F2">
      <w:pPr>
        <w:pStyle w:val="ConsPlusNormal"/>
        <w:ind w:firstLine="540"/>
        <w:jc w:val="both"/>
        <w:rPr>
          <w:b/>
          <w:bCs/>
          <w:i/>
          <w:iCs/>
        </w:rPr>
      </w:pPr>
      <w:r>
        <w:rPr>
          <w:b/>
          <w:bCs/>
          <w:i/>
          <w:iCs/>
        </w:rPr>
        <w:t xml:space="preserve">Для оценки эффективности системы управления рисками Служба внутреннего аудита вправе, в том числе: </w:t>
      </w:r>
    </w:p>
    <w:p w:rsidR="000647F2" w:rsidRDefault="000647F2" w:rsidP="00B27249">
      <w:pPr>
        <w:pStyle w:val="a9"/>
        <w:widowControl/>
        <w:numPr>
          <w:ilvl w:val="0"/>
          <w:numId w:val="2"/>
        </w:numPr>
        <w:spacing w:before="0" w:after="0"/>
        <w:ind w:left="0" w:firstLine="567"/>
        <w:jc w:val="both"/>
        <w:rPr>
          <w:rFonts w:ascii="Arial" w:hAnsi="Arial" w:cs="Arial"/>
          <w:b/>
          <w:i/>
        </w:rPr>
      </w:pPr>
      <w:r>
        <w:rPr>
          <w:rFonts w:ascii="Arial" w:hAnsi="Arial" w:cs="Arial"/>
          <w:b/>
          <w:i/>
        </w:rPr>
        <w:t xml:space="preserve">проверять полноту выявления и корректности оценки рисков руководством Общества на всех уровнях его управления; </w:t>
      </w:r>
    </w:p>
    <w:p w:rsidR="000647F2" w:rsidRDefault="000647F2" w:rsidP="00B27249">
      <w:pPr>
        <w:pStyle w:val="a9"/>
        <w:widowControl/>
        <w:numPr>
          <w:ilvl w:val="0"/>
          <w:numId w:val="2"/>
        </w:numPr>
        <w:spacing w:before="0" w:after="0"/>
        <w:ind w:left="0" w:firstLine="567"/>
        <w:jc w:val="both"/>
        <w:rPr>
          <w:rFonts w:ascii="Arial" w:hAnsi="Arial" w:cs="Arial"/>
          <w:b/>
          <w:i/>
        </w:rPr>
      </w:pPr>
      <w:r>
        <w:rPr>
          <w:rFonts w:ascii="Arial" w:hAnsi="Arial" w:cs="Arial"/>
          <w:b/>
          <w:i/>
        </w:rPr>
        <w:t xml:space="preserve">проверять эффективность контрольных процедур и иных мероприятий по управлению рисками, включая эффективность использования выделенных на эти цели ресурсов; </w:t>
      </w:r>
    </w:p>
    <w:p w:rsidR="000647F2" w:rsidRDefault="000647F2" w:rsidP="00B27249">
      <w:pPr>
        <w:pStyle w:val="a9"/>
        <w:widowControl/>
        <w:numPr>
          <w:ilvl w:val="0"/>
          <w:numId w:val="2"/>
        </w:numPr>
        <w:spacing w:before="0" w:after="0"/>
        <w:ind w:left="0" w:firstLine="567"/>
        <w:jc w:val="both"/>
        <w:rPr>
          <w:rFonts w:ascii="Arial" w:hAnsi="Arial" w:cs="Arial"/>
          <w:b/>
          <w:i/>
        </w:rPr>
      </w:pPr>
      <w:r>
        <w:rPr>
          <w:rFonts w:ascii="Arial" w:hAnsi="Arial" w:cs="Arial"/>
          <w:b/>
          <w:i/>
        </w:rPr>
        <w:t xml:space="preserve">проводить анализ информации о реализовавшихся рисках (выявленных по результатам внутренних аудиторских проверок нарушениях, фактах недостижения поставленных целей, фактах судебных разбирательств). </w:t>
      </w:r>
    </w:p>
    <w:p w:rsidR="000647F2" w:rsidRDefault="000647F2" w:rsidP="000647F2">
      <w:pPr>
        <w:pStyle w:val="ConsPlusNormal"/>
        <w:ind w:firstLine="540"/>
        <w:jc w:val="both"/>
        <w:rPr>
          <w:b/>
          <w:bCs/>
          <w:i/>
          <w:iCs/>
        </w:rPr>
      </w:pPr>
      <w:r>
        <w:rPr>
          <w:b/>
          <w:bCs/>
          <w:i/>
          <w:iCs/>
        </w:rPr>
        <w:t>Для оценки корпоративного управления Служба внутреннего аудита вправе, в том числе, проверять порядок постановки целей Общества, мониторинга и контроля их достижения.</w:t>
      </w:r>
    </w:p>
    <w:p w:rsidR="000647F2" w:rsidRDefault="000647F2" w:rsidP="000647F2">
      <w:pPr>
        <w:pStyle w:val="ConsPlusNormal"/>
        <w:ind w:firstLine="540"/>
        <w:jc w:val="both"/>
        <w:rPr>
          <w:b/>
          <w:bCs/>
          <w:i/>
          <w:iCs/>
        </w:rPr>
      </w:pPr>
      <w:r>
        <w:rPr>
          <w:b/>
          <w:bCs/>
          <w:i/>
          <w:iCs/>
        </w:rPr>
        <w:t xml:space="preserve">Для оценки эффективности системы внутреннего контроля Служба внутреннего аудита вправе, в том числе: </w:t>
      </w:r>
    </w:p>
    <w:p w:rsidR="000647F2" w:rsidRDefault="000647F2" w:rsidP="00B27249">
      <w:pPr>
        <w:pStyle w:val="a9"/>
        <w:widowControl/>
        <w:numPr>
          <w:ilvl w:val="0"/>
          <w:numId w:val="2"/>
        </w:numPr>
        <w:spacing w:before="0" w:after="0"/>
        <w:ind w:left="0" w:firstLine="567"/>
        <w:jc w:val="both"/>
        <w:rPr>
          <w:rFonts w:ascii="Arial" w:hAnsi="Arial" w:cs="Arial"/>
          <w:b/>
          <w:i/>
        </w:rPr>
      </w:pPr>
      <w:r>
        <w:rPr>
          <w:rFonts w:ascii="Arial" w:hAnsi="Arial" w:cs="Arial"/>
          <w:b/>
          <w:i/>
        </w:rPr>
        <w:t xml:space="preserve">проводить анализ соответствия целей бизнес-процессов, проектов и структурных подразделений целям Общества; </w:t>
      </w:r>
    </w:p>
    <w:p w:rsidR="000647F2" w:rsidRDefault="000647F2" w:rsidP="00B27249">
      <w:pPr>
        <w:pStyle w:val="a9"/>
        <w:widowControl/>
        <w:numPr>
          <w:ilvl w:val="0"/>
          <w:numId w:val="2"/>
        </w:numPr>
        <w:spacing w:before="0" w:after="0"/>
        <w:ind w:left="0" w:firstLine="567"/>
        <w:jc w:val="both"/>
        <w:rPr>
          <w:rFonts w:ascii="Arial" w:hAnsi="Arial" w:cs="Arial"/>
          <w:b/>
          <w:i/>
        </w:rPr>
      </w:pPr>
      <w:r>
        <w:rPr>
          <w:rFonts w:ascii="Arial" w:hAnsi="Arial" w:cs="Arial"/>
          <w:b/>
          <w:i/>
        </w:rPr>
        <w:t xml:space="preserve">определять адекватность критериев, установленных Генеральным директором Общества для анализа степени исполнения (достижения) поставленных целей;  </w:t>
      </w:r>
    </w:p>
    <w:p w:rsidR="000647F2" w:rsidRDefault="000647F2" w:rsidP="00B27249">
      <w:pPr>
        <w:pStyle w:val="a9"/>
        <w:widowControl/>
        <w:numPr>
          <w:ilvl w:val="0"/>
          <w:numId w:val="2"/>
        </w:numPr>
        <w:spacing w:before="0" w:after="0"/>
        <w:ind w:left="0" w:firstLine="567"/>
        <w:jc w:val="both"/>
        <w:rPr>
          <w:rFonts w:ascii="Arial" w:hAnsi="Arial" w:cs="Arial"/>
          <w:b/>
          <w:i/>
        </w:rPr>
      </w:pPr>
      <w:r>
        <w:rPr>
          <w:rFonts w:ascii="Arial" w:hAnsi="Arial" w:cs="Arial"/>
          <w:b/>
          <w:i/>
        </w:rPr>
        <w:t>проверять эффективность и целесообразность использования ресурсов.</w:t>
      </w:r>
    </w:p>
    <w:p w:rsidR="000647F2" w:rsidRDefault="000647F2" w:rsidP="000647F2">
      <w:pPr>
        <w:widowControl/>
        <w:spacing w:before="0" w:after="0"/>
        <w:ind w:left="720"/>
        <w:jc w:val="both"/>
        <w:rPr>
          <w:b/>
          <w:i/>
          <w:sz w:val="22"/>
          <w:szCs w:val="24"/>
        </w:rPr>
      </w:pPr>
    </w:p>
    <w:p w:rsidR="000647F2" w:rsidRDefault="000647F2" w:rsidP="000647F2">
      <w:pPr>
        <w:pStyle w:val="ConsPlusNormal"/>
        <w:ind w:firstLine="540"/>
        <w:jc w:val="both"/>
        <w:rPr>
          <w:b/>
          <w:bCs/>
          <w:i/>
          <w:iCs/>
        </w:rPr>
      </w:pPr>
      <w:r>
        <w:rPr>
          <w:b/>
          <w:bCs/>
          <w:i/>
          <w:iCs/>
        </w:rPr>
        <w:t>Исходя из указанного</w:t>
      </w:r>
      <w:r w:rsidR="00F5271E">
        <w:rPr>
          <w:b/>
          <w:bCs/>
          <w:i/>
          <w:iCs/>
        </w:rPr>
        <w:t xml:space="preserve"> выше</w:t>
      </w:r>
      <w:r>
        <w:rPr>
          <w:b/>
          <w:bCs/>
          <w:i/>
          <w:iCs/>
        </w:rPr>
        <w:t>, Эм</w:t>
      </w:r>
      <w:r w:rsidR="00F5271E">
        <w:rPr>
          <w:b/>
          <w:bCs/>
          <w:i/>
          <w:iCs/>
        </w:rPr>
        <w:t>итент оценивает как минимальный:</w:t>
      </w:r>
    </w:p>
    <w:p w:rsidR="000647F2" w:rsidRDefault="000647F2" w:rsidP="00B27249">
      <w:pPr>
        <w:pStyle w:val="a9"/>
        <w:widowControl/>
        <w:numPr>
          <w:ilvl w:val="0"/>
          <w:numId w:val="2"/>
        </w:numPr>
        <w:spacing w:before="0" w:after="0"/>
        <w:ind w:left="0" w:firstLine="567"/>
        <w:jc w:val="both"/>
        <w:rPr>
          <w:rFonts w:ascii="Arial" w:hAnsi="Arial" w:cs="Arial"/>
          <w:b/>
          <w:i/>
        </w:rPr>
      </w:pPr>
      <w:r>
        <w:rPr>
          <w:rFonts w:ascii="Arial" w:hAnsi="Arial" w:cs="Arial"/>
          <w:b/>
          <w:i/>
        </w:rPr>
        <w:t>риск неучета или недостаточного учета возможных опасностей, которые могут угрожать деятельности Эмитента;</w:t>
      </w:r>
    </w:p>
    <w:p w:rsidR="000647F2" w:rsidRDefault="000647F2" w:rsidP="00B27249">
      <w:pPr>
        <w:pStyle w:val="a9"/>
        <w:widowControl/>
        <w:numPr>
          <w:ilvl w:val="0"/>
          <w:numId w:val="2"/>
        </w:numPr>
        <w:spacing w:before="0" w:after="0"/>
        <w:ind w:left="0" w:firstLine="567"/>
        <w:jc w:val="both"/>
        <w:rPr>
          <w:rFonts w:ascii="Arial" w:hAnsi="Arial" w:cs="Arial"/>
          <w:b/>
          <w:i/>
        </w:rPr>
      </w:pPr>
      <w:r>
        <w:rPr>
          <w:rFonts w:ascii="Arial" w:hAnsi="Arial" w:cs="Arial"/>
          <w:b/>
          <w:i/>
        </w:rPr>
        <w:t>риск отсутствия организационных мер (управленческих решений), которые должны обеспечить достижение стратегических целей деятельности Эмитента.</w:t>
      </w:r>
    </w:p>
    <w:p w:rsidR="000647F2" w:rsidRDefault="000647F2" w:rsidP="000647F2">
      <w:pPr>
        <w:pStyle w:val="ConsPlusNormal"/>
        <w:ind w:firstLine="540"/>
        <w:jc w:val="both"/>
        <w:rPr>
          <w:b/>
          <w:bCs/>
          <w:i/>
          <w:iCs/>
        </w:rPr>
      </w:pPr>
      <w:r>
        <w:rPr>
          <w:b/>
          <w:bCs/>
          <w:i/>
          <w:iCs/>
        </w:rPr>
        <w:t>Эмитент проводит последовательную политику по обеспечению наличия необходимых ресурсов (финансовых, материально-технических, людских) в объеме, необходимом и достаточном для достижения стратегических целей деятельности Эмитента</w:t>
      </w:r>
      <w:r w:rsidR="008C1CEB">
        <w:rPr>
          <w:b/>
          <w:bCs/>
          <w:i/>
          <w:iCs/>
        </w:rPr>
        <w:t>.</w:t>
      </w:r>
    </w:p>
    <w:p w:rsidR="000647F2" w:rsidRDefault="000647F2" w:rsidP="000647F2">
      <w:pPr>
        <w:pStyle w:val="ConsPlusNormal"/>
        <w:ind w:firstLine="540"/>
        <w:jc w:val="both"/>
        <w:rPr>
          <w:b/>
          <w:bCs/>
          <w:i/>
          <w:iCs/>
        </w:rPr>
      </w:pPr>
      <w:r>
        <w:rPr>
          <w:b/>
          <w:bCs/>
          <w:i/>
          <w:iCs/>
        </w:rPr>
        <w:t>В отношении финансовых ресурсов можно выделить следующие ключевые мероприятия:</w:t>
      </w:r>
    </w:p>
    <w:p w:rsidR="000647F2" w:rsidRDefault="000647F2" w:rsidP="00B27249">
      <w:pPr>
        <w:pStyle w:val="a9"/>
        <w:widowControl/>
        <w:numPr>
          <w:ilvl w:val="0"/>
          <w:numId w:val="2"/>
        </w:numPr>
        <w:spacing w:before="0" w:after="0"/>
        <w:ind w:left="0" w:firstLine="567"/>
        <w:jc w:val="both"/>
        <w:rPr>
          <w:rFonts w:ascii="Arial" w:hAnsi="Arial" w:cs="Arial"/>
          <w:b/>
          <w:i/>
        </w:rPr>
      </w:pPr>
      <w:r>
        <w:rPr>
          <w:rFonts w:ascii="Arial" w:hAnsi="Arial" w:cs="Arial"/>
          <w:b/>
          <w:i/>
        </w:rPr>
        <w:t>планомерная работа с банками по подписанию соглашений об открытии кредитных линий с учетом стратегических планов Эмитента;</w:t>
      </w:r>
    </w:p>
    <w:p w:rsidR="000647F2" w:rsidRDefault="000647F2" w:rsidP="00B27249">
      <w:pPr>
        <w:pStyle w:val="a9"/>
        <w:widowControl/>
        <w:numPr>
          <w:ilvl w:val="0"/>
          <w:numId w:val="2"/>
        </w:numPr>
        <w:spacing w:before="0" w:after="0"/>
        <w:ind w:left="0" w:firstLine="567"/>
        <w:jc w:val="both"/>
        <w:rPr>
          <w:rFonts w:ascii="Arial" w:hAnsi="Arial" w:cs="Arial"/>
          <w:b/>
          <w:i/>
        </w:rPr>
      </w:pPr>
      <w:r>
        <w:rPr>
          <w:rFonts w:ascii="Arial" w:hAnsi="Arial" w:cs="Arial"/>
          <w:b/>
          <w:i/>
        </w:rPr>
        <w:t>формирование положительной истории Эмитента в области привлечения и обслуживания заемных средств на публичном долговом рынке капитала.</w:t>
      </w:r>
    </w:p>
    <w:p w:rsidR="000647F2" w:rsidRDefault="000647F2" w:rsidP="000647F2">
      <w:pPr>
        <w:pStyle w:val="ConsPlusNormal"/>
        <w:ind w:firstLine="540"/>
        <w:jc w:val="both"/>
        <w:rPr>
          <w:b/>
          <w:bCs/>
          <w:i/>
          <w:iCs/>
        </w:rPr>
      </w:pPr>
      <w:r>
        <w:rPr>
          <w:b/>
          <w:bCs/>
          <w:i/>
          <w:iCs/>
        </w:rPr>
        <w:t>В отношении материально-технических ресурсов:</w:t>
      </w:r>
    </w:p>
    <w:p w:rsidR="000647F2" w:rsidRDefault="000647F2" w:rsidP="00B27249">
      <w:pPr>
        <w:pStyle w:val="a9"/>
        <w:widowControl/>
        <w:numPr>
          <w:ilvl w:val="0"/>
          <w:numId w:val="2"/>
        </w:numPr>
        <w:spacing w:before="0" w:after="0"/>
        <w:ind w:left="0" w:firstLine="567"/>
        <w:jc w:val="both"/>
        <w:rPr>
          <w:rFonts w:ascii="Arial" w:hAnsi="Arial" w:cs="Arial"/>
          <w:b/>
          <w:i/>
        </w:rPr>
      </w:pPr>
      <w:r>
        <w:rPr>
          <w:rFonts w:ascii="Arial" w:hAnsi="Arial" w:cs="Arial"/>
          <w:b/>
          <w:i/>
        </w:rPr>
        <w:t>использование Эмитентом передовых технологий строительства;</w:t>
      </w:r>
    </w:p>
    <w:p w:rsidR="000647F2" w:rsidRDefault="000647F2" w:rsidP="00B27249">
      <w:pPr>
        <w:pStyle w:val="a9"/>
        <w:widowControl/>
        <w:numPr>
          <w:ilvl w:val="0"/>
          <w:numId w:val="2"/>
        </w:numPr>
        <w:spacing w:before="0" w:after="0"/>
        <w:ind w:left="0" w:firstLine="567"/>
        <w:jc w:val="both"/>
        <w:rPr>
          <w:rFonts w:ascii="Arial" w:hAnsi="Arial" w:cs="Arial"/>
          <w:b/>
          <w:i/>
        </w:rPr>
      </w:pPr>
      <w:r>
        <w:rPr>
          <w:rFonts w:ascii="Arial" w:hAnsi="Arial" w:cs="Arial"/>
          <w:b/>
          <w:i/>
        </w:rPr>
        <w:t>использование преимуществ структурной организации через вертикально-интегрированную группу компаний.</w:t>
      </w:r>
    </w:p>
    <w:p w:rsidR="000647F2" w:rsidRDefault="000647F2" w:rsidP="000647F2">
      <w:pPr>
        <w:pStyle w:val="ConsPlusNormal"/>
        <w:ind w:firstLine="540"/>
        <w:jc w:val="both"/>
        <w:rPr>
          <w:b/>
          <w:bCs/>
          <w:i/>
          <w:iCs/>
        </w:rPr>
      </w:pPr>
      <w:r>
        <w:rPr>
          <w:b/>
          <w:bCs/>
          <w:i/>
          <w:iCs/>
        </w:rPr>
        <w:t>В отношении людских ресурсов и работы с персоналом:</w:t>
      </w:r>
    </w:p>
    <w:p w:rsidR="000647F2" w:rsidRDefault="000647F2" w:rsidP="00B27249">
      <w:pPr>
        <w:pStyle w:val="a9"/>
        <w:widowControl/>
        <w:numPr>
          <w:ilvl w:val="0"/>
          <w:numId w:val="2"/>
        </w:numPr>
        <w:spacing w:before="0" w:after="0"/>
        <w:ind w:left="0" w:firstLine="567"/>
        <w:jc w:val="both"/>
        <w:rPr>
          <w:rFonts w:ascii="Arial" w:hAnsi="Arial" w:cs="Arial"/>
          <w:b/>
          <w:i/>
        </w:rPr>
      </w:pPr>
      <w:r>
        <w:rPr>
          <w:rFonts w:ascii="Arial" w:hAnsi="Arial" w:cs="Arial"/>
          <w:b/>
          <w:i/>
        </w:rPr>
        <w:t>Эмитент имеет возможность привлекать перспективных молодых специалистов на основании имеющихся соглашений с ведущими профильными ВУЗами Санкт-Петербурга. Кроме того, в октябре 2015 года был подписан договор о создании базовой кафедры СПбГАСУ «Управление проектами в строительстве на базе ЗАО «ГК «Эталон», что позволит усовершенствовать как образовательный процесс, так и привлекать Эмитенту талантливых студентов на работу;</w:t>
      </w:r>
    </w:p>
    <w:p w:rsidR="000647F2" w:rsidRDefault="000647F2" w:rsidP="00B27249">
      <w:pPr>
        <w:pStyle w:val="a9"/>
        <w:widowControl/>
        <w:numPr>
          <w:ilvl w:val="0"/>
          <w:numId w:val="2"/>
        </w:numPr>
        <w:spacing w:before="0" w:after="0"/>
        <w:ind w:left="0" w:firstLine="567"/>
        <w:jc w:val="both"/>
        <w:rPr>
          <w:rFonts w:ascii="Arial" w:hAnsi="Arial" w:cs="Arial"/>
          <w:b/>
          <w:i/>
        </w:rPr>
      </w:pPr>
      <w:r>
        <w:rPr>
          <w:rFonts w:ascii="Arial" w:hAnsi="Arial" w:cs="Arial"/>
          <w:b/>
          <w:i/>
        </w:rPr>
        <w:t>Положительная репутация и занимаемое Эмитентом положение на рынке позволяет привлекать лучших специалистов на рынке труда;</w:t>
      </w:r>
    </w:p>
    <w:p w:rsidR="000647F2" w:rsidRDefault="000647F2" w:rsidP="00B27249">
      <w:pPr>
        <w:pStyle w:val="a9"/>
        <w:widowControl/>
        <w:numPr>
          <w:ilvl w:val="0"/>
          <w:numId w:val="2"/>
        </w:numPr>
        <w:spacing w:before="0" w:after="0"/>
        <w:ind w:left="0" w:firstLine="567"/>
        <w:jc w:val="both"/>
        <w:rPr>
          <w:rFonts w:ascii="Arial" w:hAnsi="Arial" w:cs="Arial"/>
          <w:b/>
          <w:i/>
        </w:rPr>
      </w:pPr>
      <w:r>
        <w:rPr>
          <w:rFonts w:ascii="Arial" w:hAnsi="Arial" w:cs="Arial"/>
          <w:b/>
          <w:i/>
        </w:rPr>
        <w:t>Эмитентом успешно реализуются различные программы по обучению и повышению квалификации персонала.</w:t>
      </w:r>
    </w:p>
    <w:p w:rsidR="000647F2" w:rsidRDefault="000647F2" w:rsidP="000647F2">
      <w:pPr>
        <w:pStyle w:val="ConsPlusNormal"/>
        <w:ind w:firstLine="540"/>
        <w:jc w:val="both"/>
        <w:rPr>
          <w:b/>
          <w:bCs/>
          <w:i/>
          <w:iCs/>
        </w:rPr>
      </w:pPr>
      <w:r>
        <w:rPr>
          <w:b/>
          <w:bCs/>
          <w:i/>
          <w:iCs/>
        </w:rPr>
        <w:t>Исходя из указанного выше, Эмитент оценивает как минимальный риск отсутствия или обеспечения в неполном объеме необходимых ресурсов (финансовых, материально-технических, людских), которые должны обеспечить достижение стратегических целей деятельности Эмитента.</w:t>
      </w:r>
    </w:p>
    <w:p w:rsidR="000647F2" w:rsidRDefault="000647F2" w:rsidP="000647F2">
      <w:pPr>
        <w:pStyle w:val="ConsPlusNormal"/>
        <w:ind w:firstLine="540"/>
        <w:jc w:val="both"/>
        <w:rPr>
          <w:b/>
          <w:bCs/>
          <w:i/>
          <w:iCs/>
        </w:rPr>
      </w:pPr>
      <w:r>
        <w:rPr>
          <w:b/>
          <w:bCs/>
          <w:i/>
          <w:iCs/>
        </w:rPr>
        <w:t xml:space="preserve">Эмитент не планирует менять свою основную деятельность. Сегмент «комфорт-класса» позволяет Эмитенту решать все поставленные перед ним акционерами бизнес-задачи. Эмитент осуществляет свою деятельность на территории Санкт-Петербурга. </w:t>
      </w:r>
    </w:p>
    <w:p w:rsidR="000647F2" w:rsidRDefault="000647F2" w:rsidP="000647F2">
      <w:pPr>
        <w:pStyle w:val="ConsPlusNormal"/>
        <w:ind w:firstLine="540"/>
        <w:jc w:val="both"/>
        <w:rPr>
          <w:b/>
          <w:bCs/>
          <w:i/>
          <w:iCs/>
        </w:rPr>
      </w:pPr>
      <w:r>
        <w:rPr>
          <w:b/>
          <w:bCs/>
          <w:i/>
          <w:iCs/>
        </w:rPr>
        <w:t xml:space="preserve">Для достижения стратегических целей деятельности Эмитента важнейшее значение имеет снижение рисков при выборе земельных участков, предназначенных для реализации инвестиционно-строительных проектов. Эмитентом реализованы определенные организационные меры, позволяющие минимизировать риски принятия неправильных или недостаточно обоснованных решений. Так, Эмитентом создан и на постоянной основе функционирует орган, рассматривающий все планируемые к приобретению земельные участки (проектный комитет). При этом службы Эмитента в рамках своей компетенции проводят предварительный экономический анализ проекта, расчет ключевых финансовых показателей, юридический, налоговый и строительный due diligence. </w:t>
      </w:r>
    </w:p>
    <w:p w:rsidR="000647F2" w:rsidRDefault="000647F2" w:rsidP="000647F2">
      <w:pPr>
        <w:pStyle w:val="ConsPlusNormal"/>
        <w:ind w:firstLine="540"/>
        <w:jc w:val="both"/>
        <w:rPr>
          <w:b/>
          <w:bCs/>
          <w:i/>
          <w:iCs/>
        </w:rPr>
      </w:pPr>
      <w:r>
        <w:rPr>
          <w:b/>
          <w:bCs/>
          <w:i/>
          <w:iCs/>
        </w:rPr>
        <w:t xml:space="preserve">Таким образом, Эмитент оценивает как минимальный риск неправильного или недостаточно обоснованного определения перспективных направлений деятельности, в которых Эмитент может достичь преимущества перед конкурентами. </w:t>
      </w:r>
    </w:p>
    <w:p w:rsidR="000647F2" w:rsidRDefault="000647F2" w:rsidP="000647F2">
      <w:pPr>
        <w:pStyle w:val="ConsPlusNormal"/>
        <w:jc w:val="both"/>
        <w:rPr>
          <w:rFonts w:ascii="Times New Roman" w:hAnsi="Times New Roman" w:cs="Times New Roman"/>
        </w:rPr>
      </w:pPr>
    </w:p>
    <w:p w:rsidR="000647F2" w:rsidRPr="00A859AF" w:rsidRDefault="000647F2" w:rsidP="000647F2">
      <w:pPr>
        <w:pStyle w:val="ConsPlusNormal"/>
        <w:ind w:firstLine="540"/>
        <w:jc w:val="both"/>
        <w:outlineLvl w:val="2"/>
        <w:rPr>
          <w:b/>
          <w:sz w:val="26"/>
          <w:szCs w:val="26"/>
        </w:rPr>
      </w:pPr>
      <w:bookmarkStart w:id="30" w:name="_Toc448251134"/>
      <w:r w:rsidRPr="00A859AF">
        <w:rPr>
          <w:b/>
          <w:sz w:val="26"/>
          <w:szCs w:val="26"/>
        </w:rPr>
        <w:t>2.5.7. Риски, связанные с деятельностью эмитента</w:t>
      </w:r>
      <w:bookmarkEnd w:id="30"/>
    </w:p>
    <w:p w:rsidR="00A06BCF" w:rsidRDefault="00A06BCF" w:rsidP="000647F2">
      <w:pPr>
        <w:pStyle w:val="ConsPlusNormal"/>
        <w:ind w:firstLine="540"/>
        <w:jc w:val="both"/>
        <w:rPr>
          <w:rFonts w:ascii="Times New Roman" w:hAnsi="Times New Roman" w:cs="Times New Roman"/>
        </w:rPr>
      </w:pPr>
    </w:p>
    <w:p w:rsidR="000647F2" w:rsidRDefault="000647F2" w:rsidP="000647F2">
      <w:pPr>
        <w:pStyle w:val="ConsPlusNormal"/>
        <w:ind w:firstLine="540"/>
        <w:jc w:val="both"/>
        <w:rPr>
          <w:rFonts w:ascii="Times New Roman" w:hAnsi="Times New Roman" w:cs="Times New Roman"/>
        </w:rPr>
      </w:pPr>
      <w:r>
        <w:rPr>
          <w:rFonts w:ascii="Times New Roman" w:hAnsi="Times New Roman" w:cs="Times New Roman"/>
        </w:rPr>
        <w:t>Описываются риски, свойственные исключительно эмитенту или связанные с осуществляемой эмитентом основной финансово-хозяйственной деятельностью, в том числе риски, связанные с:</w:t>
      </w:r>
    </w:p>
    <w:p w:rsidR="000647F2" w:rsidRDefault="000647F2" w:rsidP="000647F2">
      <w:pPr>
        <w:pStyle w:val="ConsPlusNormal"/>
        <w:jc w:val="both"/>
        <w:rPr>
          <w:rFonts w:ascii="Times New Roman" w:hAnsi="Times New Roman" w:cs="Times New Roman"/>
        </w:rPr>
      </w:pPr>
    </w:p>
    <w:p w:rsidR="000647F2" w:rsidRDefault="000647F2" w:rsidP="000647F2">
      <w:pPr>
        <w:widowControl/>
        <w:spacing w:before="0" w:after="0"/>
        <w:ind w:firstLine="720"/>
        <w:jc w:val="both"/>
        <w:rPr>
          <w:u w:val="single" w:color="000000"/>
        </w:rPr>
      </w:pPr>
      <w:r>
        <w:rPr>
          <w:u w:val="single" w:color="000000"/>
        </w:rPr>
        <w:t>текущими судебными процессами, в которых участвует Эмитент:</w:t>
      </w:r>
    </w:p>
    <w:p w:rsidR="00A06BCF" w:rsidRDefault="00A06BCF" w:rsidP="000647F2">
      <w:pPr>
        <w:pStyle w:val="ConsPlusNormal"/>
        <w:ind w:firstLine="540"/>
        <w:jc w:val="both"/>
        <w:rPr>
          <w:b/>
          <w:bCs/>
          <w:i/>
          <w:iCs/>
        </w:rPr>
      </w:pPr>
    </w:p>
    <w:p w:rsidR="000647F2" w:rsidRDefault="000647F2" w:rsidP="000647F2">
      <w:pPr>
        <w:pStyle w:val="ConsPlusNormal"/>
        <w:ind w:firstLine="540"/>
        <w:jc w:val="both"/>
        <w:rPr>
          <w:b/>
          <w:bCs/>
          <w:i/>
          <w:iCs/>
        </w:rPr>
      </w:pPr>
      <w:r>
        <w:rPr>
          <w:b/>
          <w:bCs/>
          <w:i/>
          <w:iCs/>
        </w:rPr>
        <w:t xml:space="preserve">По состоянию на дату </w:t>
      </w:r>
      <w:r w:rsidR="00B27249">
        <w:rPr>
          <w:b/>
          <w:bCs/>
          <w:i/>
          <w:iCs/>
        </w:rPr>
        <w:t xml:space="preserve">утверждения проспекта ценных бумаг </w:t>
      </w:r>
      <w:r>
        <w:rPr>
          <w:b/>
          <w:bCs/>
          <w:i/>
          <w:iCs/>
        </w:rPr>
        <w:t>Эмитент не участвует в судебных процессах, которые могут существенно повлиять на его финансово-хозяйственную деятельность.</w:t>
      </w:r>
    </w:p>
    <w:p w:rsidR="000647F2" w:rsidRDefault="000647F2" w:rsidP="000647F2">
      <w:pPr>
        <w:widowControl/>
        <w:spacing w:before="0" w:after="0"/>
        <w:jc w:val="both"/>
        <w:rPr>
          <w:b/>
          <w:i/>
          <w:sz w:val="22"/>
          <w:szCs w:val="24"/>
        </w:rPr>
      </w:pPr>
    </w:p>
    <w:p w:rsidR="000647F2" w:rsidRDefault="000647F2" w:rsidP="000647F2">
      <w:pPr>
        <w:widowControl/>
        <w:spacing w:before="0" w:after="0"/>
        <w:ind w:firstLine="720"/>
        <w:jc w:val="both"/>
        <w:rPr>
          <w:u w:val="single" w:color="000000"/>
        </w:rPr>
      </w:pPr>
      <w:r>
        <w:rPr>
          <w:u w:val="single" w:color="000000"/>
        </w:rPr>
        <w:t xml:space="preserve">отсутствием возможности продлить действие лицензии Эмитента на ведение определенного вида деятельности либо на использование объектов, нахождение которых в обороте ограничено (включая природные ресурсы): </w:t>
      </w:r>
    </w:p>
    <w:p w:rsidR="00A06BCF" w:rsidRDefault="00A06BCF" w:rsidP="00787E07">
      <w:pPr>
        <w:pStyle w:val="ConsPlusNormal"/>
        <w:ind w:firstLine="540"/>
        <w:jc w:val="both"/>
        <w:rPr>
          <w:b/>
          <w:bCs/>
          <w:i/>
          <w:iCs/>
        </w:rPr>
      </w:pPr>
    </w:p>
    <w:p w:rsidR="000647F2" w:rsidRDefault="000647F2" w:rsidP="00787E07">
      <w:pPr>
        <w:pStyle w:val="ConsPlusNormal"/>
        <w:ind w:firstLine="540"/>
        <w:jc w:val="both"/>
        <w:rPr>
          <w:b/>
          <w:bCs/>
          <w:i/>
          <w:iCs/>
        </w:rPr>
      </w:pPr>
      <w:r>
        <w:rPr>
          <w:b/>
          <w:bCs/>
          <w:i/>
          <w:iCs/>
        </w:rPr>
        <w:t xml:space="preserve">Эмитент не использует объекты, нахождение которых в обороте ограничено (включая природные ресурсы). </w:t>
      </w:r>
    </w:p>
    <w:p w:rsidR="000647F2" w:rsidRDefault="000647F2" w:rsidP="000647F2">
      <w:pPr>
        <w:widowControl/>
        <w:spacing w:before="0" w:after="0"/>
        <w:jc w:val="both"/>
        <w:rPr>
          <w:b/>
          <w:i/>
          <w:sz w:val="22"/>
          <w:szCs w:val="24"/>
        </w:rPr>
      </w:pPr>
    </w:p>
    <w:p w:rsidR="000647F2" w:rsidRDefault="000647F2" w:rsidP="000647F2">
      <w:pPr>
        <w:widowControl/>
        <w:spacing w:before="0" w:after="0"/>
        <w:ind w:firstLine="720"/>
        <w:jc w:val="both"/>
        <w:rPr>
          <w:u w:val="single" w:color="000000"/>
        </w:rPr>
      </w:pPr>
      <w:r>
        <w:rPr>
          <w:u w:val="single" w:color="000000"/>
        </w:rPr>
        <w:t>возможной ответственностью Эмитента по долгам третьих лиц, в том числе дочерних обществ Эмитента:</w:t>
      </w:r>
    </w:p>
    <w:p w:rsidR="000647F2" w:rsidRDefault="000647F2" w:rsidP="000647F2">
      <w:pPr>
        <w:widowControl/>
        <w:spacing w:before="0" w:after="0"/>
        <w:ind w:firstLine="720"/>
        <w:jc w:val="both"/>
        <w:rPr>
          <w:u w:val="single" w:color="000000"/>
        </w:rPr>
      </w:pPr>
    </w:p>
    <w:p w:rsidR="002754FA" w:rsidRPr="0054796B" w:rsidRDefault="002754FA" w:rsidP="002754FA">
      <w:pPr>
        <w:pStyle w:val="ConsPlusNormal"/>
        <w:ind w:firstLine="540"/>
        <w:jc w:val="both"/>
        <w:rPr>
          <w:b/>
          <w:bCs/>
          <w:i/>
          <w:iCs/>
        </w:rPr>
      </w:pPr>
      <w:r w:rsidRPr="00343305">
        <w:rPr>
          <w:b/>
          <w:bCs/>
          <w:i/>
          <w:iCs/>
        </w:rPr>
        <w:t>В силу незначительности общей суммы обязательств</w:t>
      </w:r>
      <w:r w:rsidRPr="00FE2534">
        <w:rPr>
          <w:b/>
          <w:bCs/>
          <w:i/>
          <w:iCs/>
        </w:rPr>
        <w:t xml:space="preserve"> </w:t>
      </w:r>
      <w:r w:rsidRPr="00343305">
        <w:rPr>
          <w:b/>
          <w:bCs/>
          <w:i/>
          <w:iCs/>
        </w:rPr>
        <w:t>Эмитента из предоставленного им обеспечения и общей сумме обязательств третьих лиц</w:t>
      </w:r>
      <w:r w:rsidRPr="0054796B">
        <w:rPr>
          <w:b/>
          <w:bCs/>
          <w:i/>
          <w:iCs/>
        </w:rPr>
        <w:t xml:space="preserve"> (4% от валюты баланса на 3</w:t>
      </w:r>
      <w:r w:rsidRPr="00FE2534">
        <w:rPr>
          <w:b/>
          <w:bCs/>
          <w:i/>
          <w:iCs/>
        </w:rPr>
        <w:t>1</w:t>
      </w:r>
      <w:r w:rsidRPr="00EF4CA1">
        <w:rPr>
          <w:b/>
          <w:bCs/>
          <w:i/>
          <w:iCs/>
        </w:rPr>
        <w:t>.</w:t>
      </w:r>
      <w:r w:rsidRPr="00FE2534">
        <w:rPr>
          <w:b/>
          <w:bCs/>
          <w:i/>
          <w:iCs/>
        </w:rPr>
        <w:t>12</w:t>
      </w:r>
      <w:r w:rsidRPr="00EF4CA1">
        <w:rPr>
          <w:b/>
          <w:bCs/>
          <w:i/>
          <w:iCs/>
        </w:rPr>
        <w:t>.201</w:t>
      </w:r>
      <w:r w:rsidRPr="00FE2534">
        <w:rPr>
          <w:b/>
          <w:bCs/>
          <w:i/>
          <w:iCs/>
        </w:rPr>
        <w:t>5</w:t>
      </w:r>
      <w:r w:rsidRPr="00EF4CA1">
        <w:rPr>
          <w:b/>
          <w:bCs/>
          <w:i/>
          <w:iCs/>
        </w:rPr>
        <w:t>), по мнению Эмитента, реализация риска ответственности Эмитента по данным обязательствам не окажет существенное влияние на финансово-хозяйственную деятельность</w:t>
      </w:r>
      <w:r w:rsidRPr="0054796B">
        <w:rPr>
          <w:b/>
          <w:bCs/>
          <w:i/>
          <w:iCs/>
        </w:rPr>
        <w:t xml:space="preserve"> Эмитента. Эмитент расценивает риск возможной ответственности Эмитента по долгам третьих лиц как минимальный. </w:t>
      </w:r>
    </w:p>
    <w:p w:rsidR="002754FA" w:rsidRDefault="002754FA" w:rsidP="002754FA">
      <w:pPr>
        <w:pStyle w:val="ConsPlusNormal"/>
        <w:ind w:firstLine="540"/>
        <w:jc w:val="both"/>
        <w:rPr>
          <w:b/>
          <w:bCs/>
          <w:i/>
          <w:iCs/>
        </w:rPr>
      </w:pPr>
      <w:r>
        <w:rPr>
          <w:b/>
          <w:bCs/>
          <w:i/>
          <w:iCs/>
        </w:rPr>
        <w:t xml:space="preserve">В соответствии с п. 3 ст. 6 </w:t>
      </w:r>
      <w:r w:rsidR="00D523C2">
        <w:rPr>
          <w:b/>
          <w:bCs/>
          <w:i/>
          <w:iCs/>
        </w:rPr>
        <w:t>Закона о</w:t>
      </w:r>
      <w:r>
        <w:rPr>
          <w:b/>
          <w:bCs/>
          <w:i/>
          <w:iCs/>
        </w:rPr>
        <w:t xml:space="preserve">б акционерных обществах в случае несостоятельности (банкротства) дочернего общества по вине основного общества последнее несет субсидиарную ответственность по его долгам. Несостоятельность (банкротство) дочернего общества считается происшедшей по вине основного общества только в случае, когда основное общество использовало право или возможность давать обязательные для дочернего общества указания, закреплённые в уставе или договоре с последним в целях совершения дочерним обществом действия, заведомо зная, что вследствие этого наступит несостоятельность (банкротство) дочернего общества. Эмитент не осуществляет и не планирует осуществлять действия, нацеленные на наступление несостоятельности (банкротства) дочерних обществ Эмитента. Эмитент является основной компанией Группы </w:t>
      </w:r>
      <w:r w:rsidR="0087743D">
        <w:rPr>
          <w:b/>
          <w:bCs/>
          <w:i/>
          <w:iCs/>
        </w:rPr>
        <w:t xml:space="preserve">компаний </w:t>
      </w:r>
      <w:r>
        <w:rPr>
          <w:b/>
          <w:bCs/>
          <w:i/>
          <w:iCs/>
        </w:rPr>
        <w:t>«ЛенСпецСМУ». Каждая дочерняя компания Эмитента является элементом вертикально-интегрированной бизнес-модели, имеющим функциональное значение. Эмитент расценивает риск возможной ответственности Эмитента по долгам дочерних обществ как минимальный.</w:t>
      </w:r>
    </w:p>
    <w:p w:rsidR="000647F2" w:rsidRDefault="000647F2" w:rsidP="000647F2">
      <w:pPr>
        <w:widowControl/>
        <w:spacing w:before="0" w:after="0"/>
        <w:ind w:firstLine="720"/>
        <w:jc w:val="both"/>
        <w:rPr>
          <w:sz w:val="22"/>
          <w:szCs w:val="24"/>
          <w:u w:val="single" w:color="000000"/>
        </w:rPr>
      </w:pPr>
    </w:p>
    <w:p w:rsidR="000647F2" w:rsidRDefault="000647F2" w:rsidP="000647F2">
      <w:pPr>
        <w:widowControl/>
        <w:spacing w:before="0" w:after="0"/>
        <w:ind w:firstLine="720"/>
        <w:jc w:val="both"/>
        <w:rPr>
          <w:u w:val="single" w:color="000000"/>
        </w:rPr>
      </w:pPr>
      <w:r>
        <w:rPr>
          <w:u w:val="single" w:color="000000"/>
        </w:rPr>
        <w:t>возможностью потери потребителей, на оборот с которыми приходится не менее чем 10 процентов общей выручки от продажи продукции (работ, услуг) Эмитента:</w:t>
      </w:r>
    </w:p>
    <w:p w:rsidR="000647F2" w:rsidRDefault="000647F2" w:rsidP="000647F2">
      <w:pPr>
        <w:widowControl/>
        <w:spacing w:before="0" w:after="0"/>
        <w:ind w:firstLine="720"/>
        <w:jc w:val="both"/>
        <w:rPr>
          <w:sz w:val="22"/>
          <w:szCs w:val="24"/>
          <w:u w:val="single" w:color="000000"/>
        </w:rPr>
      </w:pPr>
    </w:p>
    <w:p w:rsidR="000647F2" w:rsidRDefault="000647F2" w:rsidP="000647F2">
      <w:pPr>
        <w:pStyle w:val="ConsPlusNormal"/>
        <w:ind w:firstLine="540"/>
        <w:jc w:val="both"/>
        <w:rPr>
          <w:b/>
          <w:bCs/>
          <w:i/>
          <w:iCs/>
        </w:rPr>
      </w:pPr>
      <w:r>
        <w:rPr>
          <w:b/>
          <w:bCs/>
          <w:i/>
          <w:iCs/>
        </w:rPr>
        <w:t>Потребителями продукции Эмитента являются преимущественно физические лица, поэтому риск потери потребителей на оборот с которыми приходится не менее 10 процентов общей выручки, можно считать ничтожным.</w:t>
      </w:r>
    </w:p>
    <w:p w:rsidR="000647F2" w:rsidRDefault="000647F2" w:rsidP="000647F2">
      <w:pPr>
        <w:pStyle w:val="ConsPlusNormal"/>
        <w:jc w:val="both"/>
        <w:rPr>
          <w:rFonts w:ascii="Times New Roman" w:hAnsi="Times New Roman" w:cs="Times New Roman"/>
        </w:rPr>
      </w:pPr>
    </w:p>
    <w:p w:rsidR="000647F2" w:rsidRPr="00A859AF" w:rsidRDefault="000647F2" w:rsidP="000647F2">
      <w:pPr>
        <w:pStyle w:val="ConsPlusNormal"/>
        <w:ind w:firstLine="540"/>
        <w:jc w:val="both"/>
        <w:outlineLvl w:val="2"/>
        <w:rPr>
          <w:b/>
          <w:sz w:val="26"/>
          <w:szCs w:val="26"/>
        </w:rPr>
      </w:pPr>
      <w:bookmarkStart w:id="31" w:name="_Toc448251135"/>
      <w:r w:rsidRPr="00A859AF">
        <w:rPr>
          <w:b/>
          <w:sz w:val="26"/>
          <w:szCs w:val="26"/>
        </w:rPr>
        <w:t>2.5.8. Банковские риски</w:t>
      </w:r>
      <w:bookmarkEnd w:id="31"/>
    </w:p>
    <w:p w:rsidR="000647F2" w:rsidRDefault="000647F2" w:rsidP="000647F2">
      <w:pPr>
        <w:pStyle w:val="ConsPlusNormal"/>
        <w:ind w:firstLine="540"/>
        <w:jc w:val="both"/>
        <w:rPr>
          <w:b/>
          <w:bCs/>
          <w:i/>
          <w:iCs/>
        </w:rPr>
      </w:pPr>
    </w:p>
    <w:p w:rsidR="000647F2" w:rsidRDefault="000647F2" w:rsidP="000647F2">
      <w:pPr>
        <w:pStyle w:val="ConsPlusNormal"/>
        <w:ind w:firstLine="540"/>
        <w:jc w:val="both"/>
        <w:rPr>
          <w:b/>
          <w:bCs/>
          <w:i/>
          <w:iCs/>
        </w:rPr>
      </w:pPr>
      <w:r>
        <w:rPr>
          <w:b/>
          <w:bCs/>
          <w:i/>
          <w:iCs/>
        </w:rPr>
        <w:t>Эмитент не является кредитной организацией.</w:t>
      </w:r>
    </w:p>
    <w:p w:rsidR="000647F2" w:rsidRDefault="000647F2">
      <w:pPr>
        <w:widowControl/>
        <w:autoSpaceDE/>
        <w:autoSpaceDN/>
        <w:adjustRightInd/>
        <w:spacing w:before="0" w:after="200" w:line="276" w:lineRule="auto"/>
      </w:pPr>
      <w:r>
        <w:br w:type="page"/>
      </w:r>
    </w:p>
    <w:p w:rsidR="000647F2" w:rsidRPr="00A859AF" w:rsidRDefault="000647F2" w:rsidP="000647F2">
      <w:pPr>
        <w:pStyle w:val="ConsPlusNormal"/>
        <w:ind w:firstLine="540"/>
        <w:jc w:val="both"/>
        <w:outlineLvl w:val="0"/>
        <w:rPr>
          <w:b/>
          <w:sz w:val="32"/>
          <w:szCs w:val="32"/>
        </w:rPr>
      </w:pPr>
      <w:bookmarkStart w:id="32" w:name="_Toc448251136"/>
      <w:r w:rsidRPr="00A859AF">
        <w:rPr>
          <w:b/>
          <w:sz w:val="32"/>
          <w:szCs w:val="32"/>
        </w:rPr>
        <w:t>Раздел III. Подробная информация об эмитенте</w:t>
      </w:r>
      <w:bookmarkEnd w:id="32"/>
    </w:p>
    <w:p w:rsidR="000647F2" w:rsidRPr="00513E75" w:rsidRDefault="000647F2" w:rsidP="00A859AF">
      <w:pPr>
        <w:pStyle w:val="ConsPlusNormal"/>
        <w:ind w:firstLine="540"/>
        <w:jc w:val="both"/>
        <w:rPr>
          <w:rFonts w:ascii="Times New Roman" w:hAnsi="Times New Roman" w:cs="Times New Roman"/>
        </w:rPr>
      </w:pPr>
    </w:p>
    <w:p w:rsidR="000647F2" w:rsidRPr="00A859AF" w:rsidRDefault="000647F2" w:rsidP="00A859AF">
      <w:pPr>
        <w:pStyle w:val="ConsPlusNormal"/>
        <w:ind w:firstLine="540"/>
        <w:jc w:val="both"/>
        <w:outlineLvl w:val="1"/>
        <w:rPr>
          <w:b/>
          <w:i/>
          <w:sz w:val="28"/>
          <w:szCs w:val="28"/>
        </w:rPr>
      </w:pPr>
      <w:bookmarkStart w:id="33" w:name="_Toc448251137"/>
      <w:r w:rsidRPr="00A859AF">
        <w:rPr>
          <w:b/>
          <w:i/>
          <w:sz w:val="28"/>
          <w:szCs w:val="28"/>
        </w:rPr>
        <w:t>3.1. История создания и развитие эмитента</w:t>
      </w:r>
      <w:bookmarkEnd w:id="33"/>
    </w:p>
    <w:p w:rsidR="000647F2" w:rsidRPr="00513E75" w:rsidRDefault="000647F2" w:rsidP="00A859AF">
      <w:pPr>
        <w:pStyle w:val="ConsPlusNormal"/>
        <w:ind w:firstLine="540"/>
        <w:jc w:val="both"/>
        <w:rPr>
          <w:rFonts w:ascii="Times New Roman" w:hAnsi="Times New Roman" w:cs="Times New Roman"/>
        </w:rPr>
      </w:pPr>
    </w:p>
    <w:p w:rsidR="000647F2" w:rsidRPr="00A859AF" w:rsidRDefault="000647F2" w:rsidP="00A859AF">
      <w:pPr>
        <w:pStyle w:val="ConsPlusNormal"/>
        <w:ind w:firstLine="540"/>
        <w:jc w:val="both"/>
        <w:outlineLvl w:val="2"/>
        <w:rPr>
          <w:b/>
          <w:sz w:val="26"/>
          <w:szCs w:val="26"/>
        </w:rPr>
      </w:pPr>
      <w:bookmarkStart w:id="34" w:name="_Toc448251138"/>
      <w:r w:rsidRPr="00A859AF">
        <w:rPr>
          <w:b/>
          <w:sz w:val="26"/>
          <w:szCs w:val="26"/>
        </w:rPr>
        <w:t>3.1.1. Данные о фирменном наименовании (наименовании) эмитента</w:t>
      </w:r>
      <w:bookmarkEnd w:id="34"/>
    </w:p>
    <w:p w:rsidR="000647F2" w:rsidRPr="000647F2" w:rsidRDefault="000647F2" w:rsidP="00A859AF">
      <w:pPr>
        <w:pStyle w:val="ConsPlusNormal"/>
        <w:ind w:firstLine="540"/>
        <w:jc w:val="both"/>
        <w:rPr>
          <w:rFonts w:ascii="Times New Roman" w:hAnsi="Times New Roman" w:cs="Times New Roman"/>
        </w:rPr>
      </w:pPr>
    </w:p>
    <w:p w:rsidR="000647F2" w:rsidRPr="00274B9F" w:rsidRDefault="000647F2" w:rsidP="0025771F">
      <w:pPr>
        <w:ind w:firstLine="567"/>
        <w:jc w:val="both"/>
        <w:rPr>
          <w:rFonts w:ascii="Arial" w:eastAsiaTheme="minorEastAsia" w:hAnsi="Arial" w:cs="Arial"/>
        </w:rPr>
      </w:pPr>
      <w:r w:rsidRPr="00513E75">
        <w:t>полное фирменн</w:t>
      </w:r>
      <w:r>
        <w:t>о</w:t>
      </w:r>
      <w:r w:rsidRPr="00513E75">
        <w:t>е наименовани</w:t>
      </w:r>
      <w:r>
        <w:t>е</w:t>
      </w:r>
      <w:r w:rsidRPr="00513E75">
        <w:t xml:space="preserve"> эмитента</w:t>
      </w:r>
      <w:r>
        <w:t xml:space="preserve">: </w:t>
      </w:r>
      <w:r w:rsidRPr="00274B9F">
        <w:rPr>
          <w:rStyle w:val="Subst"/>
          <w:rFonts w:ascii="Arial" w:eastAsiaTheme="minorEastAsia" w:hAnsi="Arial" w:cs="Arial"/>
        </w:rPr>
        <w:t>Закрытое акционерное общество Специализированное Строитель</w:t>
      </w:r>
      <w:r>
        <w:rPr>
          <w:rStyle w:val="Subst"/>
          <w:rFonts w:ascii="Arial" w:eastAsiaTheme="minorEastAsia" w:hAnsi="Arial" w:cs="Arial"/>
        </w:rPr>
        <w:t>но-Монтажное Объединение «</w:t>
      </w:r>
      <w:r w:rsidRPr="00274B9F">
        <w:rPr>
          <w:rStyle w:val="Subst"/>
          <w:rFonts w:ascii="Arial" w:eastAsiaTheme="minorEastAsia" w:hAnsi="Arial" w:cs="Arial"/>
        </w:rPr>
        <w:t>ЛенСпецСМУ</w:t>
      </w:r>
      <w:r>
        <w:rPr>
          <w:rStyle w:val="Subst"/>
          <w:rFonts w:ascii="Arial" w:eastAsiaTheme="minorEastAsia" w:hAnsi="Arial" w:cs="Arial"/>
        </w:rPr>
        <w:t>»</w:t>
      </w:r>
    </w:p>
    <w:p w:rsidR="000647F2" w:rsidRDefault="000647F2" w:rsidP="0025771F">
      <w:pPr>
        <w:pStyle w:val="ConsPlusNormal"/>
        <w:ind w:firstLine="567"/>
        <w:jc w:val="both"/>
        <w:rPr>
          <w:rFonts w:ascii="Times New Roman" w:hAnsi="Times New Roman" w:cs="Times New Roman"/>
        </w:rPr>
      </w:pPr>
      <w:r w:rsidRPr="00513E75">
        <w:rPr>
          <w:rFonts w:ascii="Times New Roman" w:hAnsi="Times New Roman" w:cs="Times New Roman"/>
        </w:rPr>
        <w:t>сокращенное фирменн</w:t>
      </w:r>
      <w:r>
        <w:rPr>
          <w:rFonts w:ascii="Times New Roman" w:hAnsi="Times New Roman" w:cs="Times New Roman"/>
        </w:rPr>
        <w:t>о</w:t>
      </w:r>
      <w:r w:rsidRPr="00513E75">
        <w:rPr>
          <w:rFonts w:ascii="Times New Roman" w:hAnsi="Times New Roman" w:cs="Times New Roman"/>
        </w:rPr>
        <w:t>е наименовани</w:t>
      </w:r>
      <w:r>
        <w:rPr>
          <w:rFonts w:ascii="Times New Roman" w:hAnsi="Times New Roman" w:cs="Times New Roman"/>
        </w:rPr>
        <w:t>е</w:t>
      </w:r>
      <w:r w:rsidRPr="00513E75">
        <w:rPr>
          <w:rFonts w:ascii="Times New Roman" w:hAnsi="Times New Roman" w:cs="Times New Roman"/>
        </w:rPr>
        <w:t xml:space="preserve"> эмитента</w:t>
      </w:r>
      <w:r>
        <w:rPr>
          <w:rFonts w:ascii="Times New Roman" w:hAnsi="Times New Roman" w:cs="Times New Roman"/>
        </w:rPr>
        <w:t xml:space="preserve">: </w:t>
      </w:r>
      <w:r>
        <w:rPr>
          <w:rStyle w:val="Subst"/>
          <w:rFonts w:eastAsiaTheme="minorEastAsia"/>
        </w:rPr>
        <w:t>ЗАО ССМО «ЛенСпецСМУ»</w:t>
      </w:r>
    </w:p>
    <w:p w:rsidR="000647F2" w:rsidRDefault="000647F2" w:rsidP="0025771F">
      <w:pPr>
        <w:ind w:firstLine="567"/>
        <w:jc w:val="both"/>
        <w:rPr>
          <w:rStyle w:val="Subst"/>
          <w:rFonts w:ascii="Arial" w:eastAsiaTheme="minorEastAsia" w:hAnsi="Arial" w:cs="Arial"/>
        </w:rPr>
      </w:pPr>
      <w:r w:rsidRPr="00513E75">
        <w:t>дата (даты) вв</w:t>
      </w:r>
      <w:r>
        <w:t xml:space="preserve">едения действующих наименований: </w:t>
      </w:r>
      <w:r w:rsidRPr="00274B9F">
        <w:rPr>
          <w:rStyle w:val="Subst"/>
          <w:rFonts w:ascii="Arial" w:eastAsiaTheme="minorEastAsia" w:hAnsi="Arial" w:cs="Arial"/>
        </w:rPr>
        <w:t>28.12.1995</w:t>
      </w:r>
    </w:p>
    <w:p w:rsidR="003F6B7E" w:rsidRDefault="003F6B7E" w:rsidP="0025771F">
      <w:pPr>
        <w:ind w:firstLine="567"/>
        <w:jc w:val="both"/>
        <w:rPr>
          <w:rStyle w:val="Subst"/>
          <w:rFonts w:ascii="Arial" w:eastAsiaTheme="minorEastAsia" w:hAnsi="Arial" w:cs="Arial"/>
          <w:lang w:eastAsia="en-US"/>
        </w:rPr>
      </w:pPr>
      <w:r w:rsidRPr="003F6B7E">
        <w:t>наименование эмитента на английском языке:</w:t>
      </w:r>
      <w:r>
        <w:t xml:space="preserve"> </w:t>
      </w:r>
      <w:r w:rsidRPr="003F6B7E">
        <w:rPr>
          <w:rStyle w:val="Subst"/>
          <w:rFonts w:ascii="Arial" w:eastAsiaTheme="minorEastAsia" w:hAnsi="Arial" w:cs="Arial"/>
          <w:lang w:eastAsia="en-US"/>
        </w:rPr>
        <w:t>«LenSpetsSMU»</w:t>
      </w:r>
    </w:p>
    <w:p w:rsidR="003F6B7E" w:rsidRDefault="003F6B7E" w:rsidP="003F6B7E">
      <w:pPr>
        <w:ind w:firstLine="567"/>
        <w:jc w:val="both"/>
        <w:rPr>
          <w:rStyle w:val="Subst"/>
          <w:rFonts w:ascii="Arial" w:eastAsiaTheme="minorEastAsia" w:hAnsi="Arial" w:cs="Arial"/>
        </w:rPr>
      </w:pPr>
      <w:r w:rsidRPr="00513E75">
        <w:t>дата (даты) вв</w:t>
      </w:r>
      <w:r>
        <w:t xml:space="preserve">едения действующих наименований: </w:t>
      </w:r>
      <w:r w:rsidR="0074545E" w:rsidRPr="0074545E">
        <w:rPr>
          <w:rStyle w:val="Subst"/>
          <w:rFonts w:ascii="Arial" w:eastAsiaTheme="minorEastAsia" w:hAnsi="Arial" w:cs="Arial"/>
          <w:lang w:eastAsia="en-US"/>
        </w:rPr>
        <w:t>04.07.2007</w:t>
      </w:r>
    </w:p>
    <w:p w:rsidR="000647F2" w:rsidRPr="00513E75" w:rsidRDefault="000647F2" w:rsidP="0025771F">
      <w:pPr>
        <w:pStyle w:val="ConsPlusNormal"/>
        <w:ind w:firstLine="567"/>
        <w:jc w:val="both"/>
        <w:rPr>
          <w:rFonts w:ascii="Times New Roman" w:hAnsi="Times New Roman" w:cs="Times New Roman"/>
        </w:rPr>
      </w:pPr>
      <w:r w:rsidRPr="00513E75">
        <w:rPr>
          <w:rFonts w:ascii="Times New Roman" w:hAnsi="Times New Roman" w:cs="Times New Roman"/>
        </w:rPr>
        <w:t>В случае если полное или сокращенное фирменное наименование эмитента (для некоммерческой организации - наименование) является схожим с наименованием другого юридического лица, в этом пункте должно быть указано наименование такого юридического лица и даны пояснения, необходимые для избежания смешения указанных наименований.</w:t>
      </w:r>
    </w:p>
    <w:p w:rsidR="000647F2" w:rsidRPr="00274B9F" w:rsidRDefault="000647F2" w:rsidP="0025771F">
      <w:pPr>
        <w:ind w:firstLine="567"/>
        <w:jc w:val="both"/>
        <w:rPr>
          <w:rStyle w:val="Subst"/>
          <w:rFonts w:ascii="Arial" w:eastAsiaTheme="minorEastAsia" w:hAnsi="Arial" w:cs="Arial"/>
        </w:rPr>
      </w:pPr>
      <w:r w:rsidRPr="00274B9F">
        <w:rPr>
          <w:rStyle w:val="Subst"/>
          <w:rFonts w:ascii="Arial" w:eastAsiaTheme="minorEastAsia" w:hAnsi="Arial" w:cs="Arial"/>
        </w:rPr>
        <w:t xml:space="preserve">Полное или сокращенное фирменное наименование </w:t>
      </w:r>
      <w:r>
        <w:rPr>
          <w:rStyle w:val="Subst"/>
          <w:rFonts w:ascii="Arial" w:eastAsiaTheme="minorEastAsia" w:hAnsi="Arial" w:cs="Arial"/>
        </w:rPr>
        <w:t>Э</w:t>
      </w:r>
      <w:r w:rsidRPr="00274B9F">
        <w:rPr>
          <w:rStyle w:val="Subst"/>
          <w:rFonts w:ascii="Arial" w:eastAsiaTheme="minorEastAsia" w:hAnsi="Arial" w:cs="Arial"/>
        </w:rPr>
        <w:t>митента (наименование для некоммерческой организации) является схожим с наименованием другого юридического лица</w:t>
      </w:r>
    </w:p>
    <w:p w:rsidR="000647F2" w:rsidRDefault="000647F2" w:rsidP="00A859AF">
      <w:pPr>
        <w:pStyle w:val="ConsPlusNormal"/>
        <w:ind w:firstLine="540"/>
        <w:jc w:val="both"/>
        <w:rPr>
          <w:rFonts w:ascii="Times New Roman" w:hAnsi="Times New Roman" w:cs="Times New Roman"/>
        </w:rPr>
      </w:pPr>
    </w:p>
    <w:p w:rsidR="000647F2" w:rsidRDefault="000647F2" w:rsidP="000647F2">
      <w:pPr>
        <w:widowControl/>
        <w:spacing w:before="0" w:after="0"/>
        <w:ind w:firstLine="567"/>
        <w:jc w:val="both"/>
        <w:rPr>
          <w:rFonts w:eastAsiaTheme="minorEastAsia"/>
        </w:rPr>
      </w:pPr>
      <w:r>
        <w:rPr>
          <w:rFonts w:eastAsiaTheme="minorEastAsia"/>
        </w:rPr>
        <w:t>Наименования таких юридических лиц:</w:t>
      </w:r>
    </w:p>
    <w:p w:rsidR="000647F2" w:rsidRPr="00FC4BFF" w:rsidRDefault="000647F2" w:rsidP="000647F2">
      <w:pPr>
        <w:spacing w:before="0" w:after="0"/>
        <w:ind w:firstLine="567"/>
        <w:jc w:val="both"/>
        <w:rPr>
          <w:rStyle w:val="Subst"/>
          <w:rFonts w:ascii="Arial" w:eastAsiaTheme="minorEastAsia" w:hAnsi="Arial" w:cs="Arial"/>
        </w:rPr>
      </w:pPr>
      <w:r w:rsidRPr="00FC4BFF">
        <w:rPr>
          <w:rStyle w:val="Subst"/>
          <w:rFonts w:ascii="Arial" w:eastAsiaTheme="minorEastAsia" w:hAnsi="Arial" w:cs="Arial"/>
        </w:rPr>
        <w:t>1. Полное наименование:</w:t>
      </w:r>
      <w:r>
        <w:rPr>
          <w:rStyle w:val="Subst"/>
          <w:rFonts w:ascii="Arial" w:eastAsiaTheme="minorEastAsia" w:hAnsi="Arial" w:cs="Arial"/>
        </w:rPr>
        <w:t xml:space="preserve"> Закрытое акционерное общество «</w:t>
      </w:r>
      <w:r w:rsidRPr="00FC4BFF">
        <w:rPr>
          <w:rStyle w:val="Subst"/>
          <w:rFonts w:ascii="Arial" w:eastAsiaTheme="minorEastAsia" w:hAnsi="Arial" w:cs="Arial"/>
        </w:rPr>
        <w:t>Центральное управление недвижимости ЛенСпец</w:t>
      </w:r>
      <w:r>
        <w:rPr>
          <w:rStyle w:val="Subst"/>
          <w:rFonts w:ascii="Arial" w:eastAsiaTheme="minorEastAsia" w:hAnsi="Arial" w:cs="Arial"/>
        </w:rPr>
        <w:t>СМУ»</w:t>
      </w:r>
    </w:p>
    <w:p w:rsidR="000647F2" w:rsidRPr="00FC4BFF" w:rsidRDefault="000647F2" w:rsidP="000647F2">
      <w:pPr>
        <w:spacing w:before="0" w:after="0"/>
        <w:ind w:firstLine="567"/>
        <w:jc w:val="both"/>
        <w:rPr>
          <w:rStyle w:val="Subst"/>
          <w:rFonts w:ascii="Arial" w:eastAsiaTheme="minorEastAsia" w:hAnsi="Arial" w:cs="Arial"/>
        </w:rPr>
      </w:pPr>
      <w:r>
        <w:rPr>
          <w:rStyle w:val="Subst"/>
          <w:rFonts w:ascii="Arial" w:eastAsiaTheme="minorEastAsia" w:hAnsi="Arial" w:cs="Arial"/>
        </w:rPr>
        <w:t>Сокращенное наименование: ЗАО «</w:t>
      </w:r>
      <w:r w:rsidRPr="00FC4BFF">
        <w:rPr>
          <w:rStyle w:val="Subst"/>
          <w:rFonts w:ascii="Arial" w:eastAsiaTheme="minorEastAsia" w:hAnsi="Arial" w:cs="Arial"/>
        </w:rPr>
        <w:t>ЦУН</w:t>
      </w:r>
      <w:r>
        <w:rPr>
          <w:rStyle w:val="Subst"/>
          <w:rFonts w:ascii="Arial" w:eastAsiaTheme="minorEastAsia" w:hAnsi="Arial" w:cs="Arial"/>
        </w:rPr>
        <w:t>»</w:t>
      </w:r>
    </w:p>
    <w:p w:rsidR="000647F2" w:rsidRPr="00FC4BFF" w:rsidRDefault="000647F2" w:rsidP="000647F2">
      <w:pPr>
        <w:spacing w:before="0" w:after="0"/>
        <w:ind w:firstLine="567"/>
        <w:jc w:val="both"/>
        <w:rPr>
          <w:rStyle w:val="Subst"/>
          <w:rFonts w:ascii="Arial" w:eastAsiaTheme="minorEastAsia" w:hAnsi="Arial" w:cs="Arial"/>
        </w:rPr>
      </w:pPr>
      <w:r w:rsidRPr="00FC4BFF">
        <w:rPr>
          <w:rStyle w:val="Subst"/>
          <w:rFonts w:ascii="Arial" w:eastAsiaTheme="minorEastAsia" w:hAnsi="Arial" w:cs="Arial"/>
        </w:rPr>
        <w:t>2. Полное наименование:</w:t>
      </w:r>
      <w:r>
        <w:rPr>
          <w:rStyle w:val="Subst"/>
          <w:rFonts w:ascii="Arial" w:eastAsiaTheme="minorEastAsia" w:hAnsi="Arial" w:cs="Arial"/>
        </w:rPr>
        <w:t xml:space="preserve"> Закрытое акционерное общество «</w:t>
      </w:r>
      <w:r w:rsidRPr="00FC4BFF">
        <w:rPr>
          <w:rStyle w:val="Subst"/>
          <w:rFonts w:ascii="Arial" w:eastAsiaTheme="minorEastAsia" w:hAnsi="Arial" w:cs="Arial"/>
        </w:rPr>
        <w:t>ЛенСпецСМУ-Реконструкция</w:t>
      </w:r>
      <w:r>
        <w:rPr>
          <w:rStyle w:val="Subst"/>
          <w:rFonts w:ascii="Arial" w:eastAsiaTheme="minorEastAsia" w:hAnsi="Arial" w:cs="Arial"/>
        </w:rPr>
        <w:t>»</w:t>
      </w:r>
      <w:r w:rsidRPr="00FC4BFF">
        <w:rPr>
          <w:rStyle w:val="Subst"/>
          <w:rFonts w:ascii="Arial" w:eastAsiaTheme="minorEastAsia" w:hAnsi="Arial" w:cs="Arial"/>
        </w:rPr>
        <w:t xml:space="preserve"> </w:t>
      </w:r>
    </w:p>
    <w:p w:rsidR="000647F2" w:rsidRPr="00FC4BFF" w:rsidRDefault="000647F2" w:rsidP="000647F2">
      <w:pPr>
        <w:spacing w:before="0" w:after="0"/>
        <w:ind w:firstLine="567"/>
        <w:jc w:val="both"/>
        <w:rPr>
          <w:rStyle w:val="Subst"/>
          <w:rFonts w:ascii="Arial" w:eastAsiaTheme="minorEastAsia" w:hAnsi="Arial" w:cs="Arial"/>
        </w:rPr>
      </w:pPr>
      <w:r>
        <w:rPr>
          <w:rStyle w:val="Subst"/>
          <w:rFonts w:ascii="Arial" w:eastAsiaTheme="minorEastAsia" w:hAnsi="Arial" w:cs="Arial"/>
        </w:rPr>
        <w:t>Сокращенное наименование: ЗАО «</w:t>
      </w:r>
      <w:r w:rsidRPr="00FC4BFF">
        <w:rPr>
          <w:rStyle w:val="Subst"/>
          <w:rFonts w:ascii="Arial" w:eastAsiaTheme="minorEastAsia" w:hAnsi="Arial" w:cs="Arial"/>
        </w:rPr>
        <w:t>ЛенСпец</w:t>
      </w:r>
      <w:r>
        <w:rPr>
          <w:rStyle w:val="Subst"/>
          <w:rFonts w:ascii="Arial" w:eastAsiaTheme="minorEastAsia" w:hAnsi="Arial" w:cs="Arial"/>
        </w:rPr>
        <w:t>СМУ-Реконструкция»</w:t>
      </w:r>
    </w:p>
    <w:p w:rsidR="000647F2" w:rsidRPr="00FC4BFF" w:rsidRDefault="000647F2" w:rsidP="000647F2">
      <w:pPr>
        <w:spacing w:before="0" w:after="0"/>
        <w:ind w:firstLine="567"/>
        <w:jc w:val="both"/>
        <w:rPr>
          <w:rStyle w:val="Subst"/>
          <w:rFonts w:ascii="Arial" w:eastAsiaTheme="minorEastAsia" w:hAnsi="Arial" w:cs="Arial"/>
        </w:rPr>
      </w:pPr>
      <w:r w:rsidRPr="00FC4BFF">
        <w:rPr>
          <w:rStyle w:val="Subst"/>
          <w:rFonts w:ascii="Arial" w:eastAsiaTheme="minorEastAsia" w:hAnsi="Arial" w:cs="Arial"/>
        </w:rPr>
        <w:t>3. Полное наименование:</w:t>
      </w:r>
      <w:r>
        <w:rPr>
          <w:rStyle w:val="Subst"/>
          <w:rFonts w:ascii="Arial" w:eastAsiaTheme="minorEastAsia" w:hAnsi="Arial" w:cs="Arial"/>
        </w:rPr>
        <w:t xml:space="preserve"> Закрытое акционерное общество «УПТК-ЛенСпецСМУ»</w:t>
      </w:r>
    </w:p>
    <w:p w:rsidR="000647F2" w:rsidRPr="00FC4BFF" w:rsidRDefault="000647F2" w:rsidP="000647F2">
      <w:pPr>
        <w:spacing w:before="0" w:after="0"/>
        <w:ind w:firstLine="567"/>
        <w:jc w:val="both"/>
        <w:rPr>
          <w:rStyle w:val="Subst"/>
          <w:rFonts w:ascii="Arial" w:eastAsiaTheme="minorEastAsia" w:hAnsi="Arial" w:cs="Arial"/>
        </w:rPr>
      </w:pPr>
      <w:r>
        <w:rPr>
          <w:rStyle w:val="Subst"/>
          <w:rFonts w:ascii="Arial" w:eastAsiaTheme="minorEastAsia" w:hAnsi="Arial" w:cs="Arial"/>
        </w:rPr>
        <w:t>Сокращенное наименование: ЗАО «УПТК-ЛенСпецСМУ»</w:t>
      </w:r>
    </w:p>
    <w:p w:rsidR="000647F2" w:rsidRPr="00FC4BFF" w:rsidRDefault="000647F2" w:rsidP="000647F2">
      <w:pPr>
        <w:spacing w:before="0" w:after="0"/>
        <w:ind w:firstLine="567"/>
        <w:jc w:val="both"/>
        <w:rPr>
          <w:rStyle w:val="Subst"/>
          <w:rFonts w:ascii="Arial" w:eastAsiaTheme="minorEastAsia" w:hAnsi="Arial" w:cs="Arial"/>
        </w:rPr>
      </w:pPr>
      <w:r w:rsidRPr="00FC4BFF">
        <w:rPr>
          <w:rStyle w:val="Subst"/>
          <w:rFonts w:ascii="Arial" w:eastAsiaTheme="minorEastAsia" w:hAnsi="Arial" w:cs="Arial"/>
        </w:rPr>
        <w:t>4. Полное наименование: Общество с</w:t>
      </w:r>
      <w:r>
        <w:rPr>
          <w:rStyle w:val="Subst"/>
          <w:rFonts w:ascii="Arial" w:eastAsiaTheme="minorEastAsia" w:hAnsi="Arial" w:cs="Arial"/>
        </w:rPr>
        <w:t xml:space="preserve"> ограниченной ответственностью «ЛенСпецСМУ-Комфорт»</w:t>
      </w:r>
    </w:p>
    <w:p w:rsidR="000647F2" w:rsidRPr="00FC4BFF" w:rsidRDefault="000647F2" w:rsidP="000647F2">
      <w:pPr>
        <w:spacing w:before="0" w:after="0"/>
        <w:ind w:firstLine="567"/>
        <w:jc w:val="both"/>
        <w:rPr>
          <w:rStyle w:val="Subst"/>
          <w:rFonts w:ascii="Arial" w:eastAsiaTheme="minorEastAsia" w:hAnsi="Arial" w:cs="Arial"/>
        </w:rPr>
      </w:pPr>
      <w:r w:rsidRPr="00FC4BFF">
        <w:rPr>
          <w:rStyle w:val="Subst"/>
          <w:rFonts w:ascii="Arial" w:eastAsiaTheme="minorEastAsia" w:hAnsi="Arial" w:cs="Arial"/>
        </w:rPr>
        <w:t>Сокращенное наименование: ООО</w:t>
      </w:r>
      <w:r>
        <w:rPr>
          <w:rStyle w:val="Subst"/>
          <w:rFonts w:ascii="Arial" w:eastAsiaTheme="minorEastAsia" w:hAnsi="Arial" w:cs="Arial"/>
        </w:rPr>
        <w:t xml:space="preserve"> «ЛенСпецСМУ-Комфорт»</w:t>
      </w:r>
      <w:r w:rsidR="0025771F">
        <w:rPr>
          <w:rStyle w:val="Subst"/>
          <w:rFonts w:ascii="Arial" w:eastAsiaTheme="minorEastAsia" w:hAnsi="Arial" w:cs="Arial"/>
        </w:rPr>
        <w:t>.</w:t>
      </w:r>
    </w:p>
    <w:p w:rsidR="000647F2" w:rsidRDefault="000647F2" w:rsidP="000647F2">
      <w:pPr>
        <w:ind w:left="200"/>
        <w:jc w:val="both"/>
        <w:rPr>
          <w:rFonts w:eastAsiaTheme="minorEastAsia"/>
        </w:rPr>
      </w:pPr>
    </w:p>
    <w:p w:rsidR="000647F2" w:rsidRDefault="000647F2" w:rsidP="000647F2">
      <w:pPr>
        <w:ind w:firstLine="567"/>
        <w:jc w:val="both"/>
        <w:rPr>
          <w:rFonts w:eastAsiaTheme="minorEastAsia"/>
        </w:rPr>
      </w:pPr>
      <w:r>
        <w:rPr>
          <w:rFonts w:eastAsiaTheme="minorEastAsia"/>
        </w:rPr>
        <w:t>Пояснения, необходимые для избежания смешения указанных наименований:</w:t>
      </w:r>
    </w:p>
    <w:p w:rsidR="00A06BCF" w:rsidRDefault="00A06BCF" w:rsidP="000647F2">
      <w:pPr>
        <w:ind w:firstLine="567"/>
        <w:jc w:val="both"/>
        <w:rPr>
          <w:rStyle w:val="Subst"/>
          <w:rFonts w:ascii="Arial" w:eastAsiaTheme="minorEastAsia" w:hAnsi="Arial" w:cs="Arial"/>
        </w:rPr>
      </w:pPr>
    </w:p>
    <w:p w:rsidR="000647F2" w:rsidRPr="00FC4BFF" w:rsidRDefault="000647F2" w:rsidP="000647F2">
      <w:pPr>
        <w:ind w:firstLine="567"/>
        <w:jc w:val="both"/>
        <w:rPr>
          <w:rStyle w:val="Subst"/>
          <w:rFonts w:ascii="Arial" w:eastAsiaTheme="minorEastAsia" w:hAnsi="Arial" w:cs="Arial"/>
        </w:rPr>
      </w:pPr>
      <w:r w:rsidRPr="00FC4BFF">
        <w:rPr>
          <w:rStyle w:val="Subst"/>
          <w:rFonts w:ascii="Arial" w:eastAsiaTheme="minorEastAsia" w:hAnsi="Arial" w:cs="Arial"/>
        </w:rPr>
        <w:t>Полное фирменное наименование Эмитента является схожим с наименованиями указанных обществ, поскольку они входят в единую группу лиц, представляющую собой интегрированную бизнес-модель, и по указанной причине в их фирменных на</w:t>
      </w:r>
      <w:r>
        <w:rPr>
          <w:rStyle w:val="Subst"/>
          <w:rFonts w:ascii="Arial" w:eastAsiaTheme="minorEastAsia" w:hAnsi="Arial" w:cs="Arial"/>
        </w:rPr>
        <w:t>именованиях присутствует слово «</w:t>
      </w:r>
      <w:r w:rsidRPr="00FC4BFF">
        <w:rPr>
          <w:rStyle w:val="Subst"/>
          <w:rFonts w:ascii="Arial" w:eastAsiaTheme="minorEastAsia" w:hAnsi="Arial" w:cs="Arial"/>
        </w:rPr>
        <w:t>ЛенСпецСМУ</w:t>
      </w:r>
      <w:r>
        <w:rPr>
          <w:rStyle w:val="Subst"/>
          <w:rFonts w:ascii="Arial" w:eastAsiaTheme="minorEastAsia" w:hAnsi="Arial" w:cs="Arial"/>
        </w:rPr>
        <w:t>»</w:t>
      </w:r>
      <w:r w:rsidRPr="00FC4BFF">
        <w:rPr>
          <w:rStyle w:val="Subst"/>
          <w:rFonts w:ascii="Arial" w:eastAsiaTheme="minorEastAsia" w:hAnsi="Arial" w:cs="Arial"/>
        </w:rPr>
        <w:t>.</w:t>
      </w:r>
      <w:r>
        <w:rPr>
          <w:rStyle w:val="Subst"/>
          <w:rFonts w:ascii="Arial" w:eastAsiaTheme="minorEastAsia" w:hAnsi="Arial" w:cs="Arial"/>
        </w:rPr>
        <w:t xml:space="preserve"> </w:t>
      </w:r>
      <w:r w:rsidR="008C1CEB">
        <w:rPr>
          <w:rStyle w:val="Subst"/>
          <w:rFonts w:ascii="Arial" w:eastAsiaTheme="minorEastAsia" w:hAnsi="Arial" w:cs="Arial"/>
        </w:rPr>
        <w:t>Для избежания смешения указанных наименований юридических лиц, Эмитент рекомендует сверять ИНН</w:t>
      </w:r>
      <w:r w:rsidR="00F2400E">
        <w:rPr>
          <w:rStyle w:val="Subst"/>
          <w:rFonts w:ascii="Arial" w:eastAsiaTheme="minorEastAsia" w:hAnsi="Arial" w:cs="Arial"/>
        </w:rPr>
        <w:t xml:space="preserve"> и ОГРН</w:t>
      </w:r>
      <w:r w:rsidR="008C1CEB">
        <w:rPr>
          <w:rStyle w:val="Subst"/>
          <w:rFonts w:ascii="Arial" w:eastAsiaTheme="minorEastAsia" w:hAnsi="Arial" w:cs="Arial"/>
        </w:rPr>
        <w:t xml:space="preserve">. </w:t>
      </w:r>
    </w:p>
    <w:p w:rsidR="000647F2" w:rsidRDefault="000647F2" w:rsidP="00A859AF">
      <w:pPr>
        <w:pStyle w:val="ConsPlusNormal"/>
        <w:ind w:firstLine="540"/>
        <w:jc w:val="both"/>
        <w:rPr>
          <w:rFonts w:ascii="Times New Roman" w:hAnsi="Times New Roman" w:cs="Times New Roman"/>
        </w:rPr>
      </w:pPr>
    </w:p>
    <w:p w:rsidR="000647F2" w:rsidRPr="00513E75" w:rsidRDefault="000647F2" w:rsidP="0025771F">
      <w:pPr>
        <w:pStyle w:val="ConsPlusNormal"/>
        <w:ind w:firstLine="540"/>
        <w:jc w:val="both"/>
        <w:rPr>
          <w:rFonts w:ascii="Times New Roman" w:hAnsi="Times New Roman" w:cs="Times New Roman"/>
        </w:rPr>
      </w:pPr>
      <w:r w:rsidRPr="00513E75">
        <w:rPr>
          <w:rFonts w:ascii="Times New Roman" w:hAnsi="Times New Roman" w:cs="Times New Roman"/>
        </w:rPr>
        <w:t>В случае если фирменное наименование эмитента (для некоммерческой организации - наименование) зарегистрировано как товарный знак или знак обслуживания, указываются сведения об их регистрации.</w:t>
      </w:r>
    </w:p>
    <w:p w:rsidR="00A06BCF" w:rsidRDefault="00A06BCF" w:rsidP="0025771F">
      <w:pPr>
        <w:ind w:firstLine="540"/>
        <w:jc w:val="both"/>
        <w:rPr>
          <w:rStyle w:val="Subst"/>
          <w:rFonts w:ascii="Arial" w:eastAsiaTheme="minorEastAsia" w:hAnsi="Arial" w:cs="Arial"/>
        </w:rPr>
      </w:pPr>
    </w:p>
    <w:p w:rsidR="000647F2" w:rsidRPr="00FC4BFF" w:rsidRDefault="000647F2" w:rsidP="0025771F">
      <w:pPr>
        <w:ind w:firstLine="540"/>
        <w:jc w:val="both"/>
        <w:rPr>
          <w:rStyle w:val="Subst"/>
          <w:rFonts w:ascii="Arial" w:eastAsiaTheme="minorEastAsia" w:hAnsi="Arial" w:cs="Arial"/>
        </w:rPr>
      </w:pPr>
      <w:r w:rsidRPr="00FC4BFF">
        <w:rPr>
          <w:rStyle w:val="Subst"/>
          <w:rFonts w:ascii="Arial" w:eastAsiaTheme="minorEastAsia" w:hAnsi="Arial" w:cs="Arial"/>
        </w:rPr>
        <w:t xml:space="preserve">Фирменное наименование </w:t>
      </w:r>
      <w:r w:rsidR="00B80B68">
        <w:rPr>
          <w:rStyle w:val="Subst"/>
          <w:rFonts w:ascii="Arial" w:eastAsiaTheme="minorEastAsia" w:hAnsi="Arial" w:cs="Arial"/>
        </w:rPr>
        <w:t>Э</w:t>
      </w:r>
      <w:r w:rsidR="00B80B68" w:rsidRPr="00FC4BFF">
        <w:rPr>
          <w:rStyle w:val="Subst"/>
          <w:rFonts w:ascii="Arial" w:eastAsiaTheme="minorEastAsia" w:hAnsi="Arial" w:cs="Arial"/>
        </w:rPr>
        <w:t xml:space="preserve">митента </w:t>
      </w:r>
      <w:r w:rsidRPr="00FC4BFF">
        <w:rPr>
          <w:rStyle w:val="Subst"/>
          <w:rFonts w:ascii="Arial" w:eastAsiaTheme="minorEastAsia" w:hAnsi="Arial" w:cs="Arial"/>
        </w:rPr>
        <w:t>(наименование для некоммерческой организации) зарегистрировано как товарный знак или знак обслуживания</w:t>
      </w:r>
      <w:r>
        <w:rPr>
          <w:rStyle w:val="Subst"/>
          <w:rFonts w:ascii="Arial" w:eastAsiaTheme="minorEastAsia" w:hAnsi="Arial" w:cs="Arial"/>
        </w:rPr>
        <w:t>.</w:t>
      </w:r>
    </w:p>
    <w:p w:rsidR="000647F2" w:rsidRPr="00FC4BFF" w:rsidRDefault="000647F2" w:rsidP="0025771F">
      <w:pPr>
        <w:ind w:firstLine="540"/>
        <w:jc w:val="both"/>
        <w:rPr>
          <w:rStyle w:val="Subst"/>
          <w:rFonts w:ascii="Arial" w:eastAsiaTheme="minorEastAsia" w:hAnsi="Arial" w:cs="Arial"/>
        </w:rPr>
      </w:pPr>
      <w:r w:rsidRPr="00FC4BFF">
        <w:rPr>
          <w:rStyle w:val="Subst"/>
          <w:rFonts w:ascii="Arial" w:eastAsiaTheme="minorEastAsia" w:hAnsi="Arial" w:cs="Arial"/>
        </w:rPr>
        <w:t>Фирменное наименование Эмитента зарегистрировано как товарный знак (Свидетельство на товарный знак (знак обслуживания) № 288457 от 06.05.2005). Регистрация товарного знака действует на всей территории Российской Федерации до 29 июля 2022 года.</w:t>
      </w:r>
    </w:p>
    <w:p w:rsidR="000647F2" w:rsidRPr="00FC4BFF" w:rsidRDefault="000647F2" w:rsidP="0025771F">
      <w:pPr>
        <w:ind w:firstLine="540"/>
        <w:jc w:val="both"/>
        <w:rPr>
          <w:rStyle w:val="Subst"/>
          <w:rFonts w:ascii="Arial" w:eastAsiaTheme="minorEastAsia" w:hAnsi="Arial" w:cs="Arial"/>
        </w:rPr>
      </w:pPr>
      <w:r w:rsidRPr="00FC4BFF">
        <w:rPr>
          <w:rStyle w:val="Subst"/>
          <w:rFonts w:ascii="Arial" w:eastAsiaTheme="minorEastAsia" w:hAnsi="Arial" w:cs="Arial"/>
        </w:rPr>
        <w:t xml:space="preserve">С даты государственной регистрации до даты </w:t>
      </w:r>
      <w:r w:rsidR="00787E07">
        <w:rPr>
          <w:rStyle w:val="Subst"/>
          <w:rFonts w:ascii="Arial" w:eastAsiaTheme="minorEastAsia" w:hAnsi="Arial" w:cs="Arial"/>
        </w:rPr>
        <w:t>утверждения настоящего Проспекта ценных бумаг</w:t>
      </w:r>
      <w:r w:rsidRPr="00FC4BFF">
        <w:rPr>
          <w:rStyle w:val="Subst"/>
          <w:rFonts w:ascii="Arial" w:eastAsiaTheme="minorEastAsia" w:hAnsi="Arial" w:cs="Arial"/>
        </w:rPr>
        <w:t xml:space="preserve"> организационно-правовая форма Эмитента не изменял</w:t>
      </w:r>
      <w:r w:rsidR="003903BA">
        <w:rPr>
          <w:rStyle w:val="Subst"/>
          <w:rFonts w:ascii="Arial" w:eastAsiaTheme="minorEastAsia" w:hAnsi="Arial" w:cs="Arial"/>
        </w:rPr>
        <w:t>а</w:t>
      </w:r>
      <w:r w:rsidRPr="00FC4BFF">
        <w:rPr>
          <w:rStyle w:val="Subst"/>
          <w:rFonts w:ascii="Arial" w:eastAsiaTheme="minorEastAsia" w:hAnsi="Arial" w:cs="Arial"/>
        </w:rPr>
        <w:t>сь.</w:t>
      </w:r>
    </w:p>
    <w:p w:rsidR="000647F2" w:rsidRDefault="000647F2" w:rsidP="0025771F">
      <w:pPr>
        <w:pStyle w:val="ConsPlusNormal"/>
        <w:ind w:firstLine="540"/>
        <w:jc w:val="both"/>
        <w:rPr>
          <w:rFonts w:ascii="Times New Roman" w:hAnsi="Times New Roman" w:cs="Times New Roman"/>
        </w:rPr>
      </w:pPr>
    </w:p>
    <w:p w:rsidR="000647F2" w:rsidRPr="00513E75" w:rsidRDefault="000647F2" w:rsidP="0025771F">
      <w:pPr>
        <w:pStyle w:val="ConsPlusNormal"/>
        <w:ind w:firstLine="540"/>
        <w:jc w:val="both"/>
        <w:rPr>
          <w:rFonts w:ascii="Times New Roman" w:hAnsi="Times New Roman" w:cs="Times New Roman"/>
        </w:rPr>
      </w:pPr>
      <w:r w:rsidRPr="00513E75">
        <w:rPr>
          <w:rFonts w:ascii="Times New Roman" w:hAnsi="Times New Roman" w:cs="Times New Roman"/>
        </w:rPr>
        <w:t>В случае если в течение времени существования эмитента изменялось его фирменное наименование (для некоммерческой организации - наименование), приводятся все его предшествующие полные и сокращенные фирменные наименования (наименования) и организационно-правовые формы с указанием даты и оснований изменения.</w:t>
      </w:r>
    </w:p>
    <w:p w:rsidR="000647F2" w:rsidRPr="0070564F" w:rsidRDefault="000647F2" w:rsidP="0025771F">
      <w:pPr>
        <w:ind w:firstLine="540"/>
        <w:jc w:val="both"/>
        <w:rPr>
          <w:rStyle w:val="Subst"/>
          <w:rFonts w:ascii="Arial" w:eastAsiaTheme="minorEastAsia" w:hAnsi="Arial" w:cs="Arial"/>
        </w:rPr>
      </w:pPr>
      <w:r w:rsidRPr="0070564F">
        <w:rPr>
          <w:rStyle w:val="Subst"/>
          <w:rFonts w:ascii="Arial" w:eastAsiaTheme="minorEastAsia" w:hAnsi="Arial" w:cs="Arial"/>
        </w:rPr>
        <w:t>Наимен</w:t>
      </w:r>
      <w:r>
        <w:rPr>
          <w:rStyle w:val="Subst"/>
          <w:rFonts w:ascii="Arial" w:eastAsiaTheme="minorEastAsia" w:hAnsi="Arial" w:cs="Arial"/>
        </w:rPr>
        <w:t>ование Э</w:t>
      </w:r>
      <w:r w:rsidRPr="0070564F">
        <w:rPr>
          <w:rStyle w:val="Subst"/>
          <w:rFonts w:ascii="Arial" w:eastAsiaTheme="minorEastAsia" w:hAnsi="Arial" w:cs="Arial"/>
        </w:rPr>
        <w:t>митента в течение времени его существования не менялось</w:t>
      </w:r>
      <w:r>
        <w:rPr>
          <w:rStyle w:val="Subst"/>
          <w:rFonts w:ascii="Arial" w:eastAsiaTheme="minorEastAsia" w:hAnsi="Arial" w:cs="Arial"/>
        </w:rPr>
        <w:t>.</w:t>
      </w:r>
    </w:p>
    <w:p w:rsidR="000647F2" w:rsidRDefault="000647F2" w:rsidP="00A859AF">
      <w:pPr>
        <w:pStyle w:val="ConsPlusNormal"/>
        <w:ind w:firstLine="540"/>
        <w:jc w:val="both"/>
        <w:rPr>
          <w:rFonts w:ascii="Times New Roman" w:hAnsi="Times New Roman" w:cs="Times New Roman"/>
        </w:rPr>
      </w:pPr>
    </w:p>
    <w:p w:rsidR="00A06BCF" w:rsidRPr="00513E75" w:rsidRDefault="00A06BCF" w:rsidP="00A859AF">
      <w:pPr>
        <w:pStyle w:val="ConsPlusNormal"/>
        <w:ind w:firstLine="540"/>
        <w:jc w:val="both"/>
        <w:rPr>
          <w:rFonts w:ascii="Times New Roman" w:hAnsi="Times New Roman" w:cs="Times New Roman"/>
        </w:rPr>
      </w:pPr>
    </w:p>
    <w:p w:rsidR="000647F2" w:rsidRPr="00A859AF" w:rsidRDefault="000647F2" w:rsidP="00A859AF">
      <w:pPr>
        <w:pStyle w:val="ConsPlusNormal"/>
        <w:ind w:firstLine="540"/>
        <w:jc w:val="both"/>
        <w:outlineLvl w:val="2"/>
        <w:rPr>
          <w:b/>
          <w:sz w:val="26"/>
          <w:szCs w:val="26"/>
        </w:rPr>
      </w:pPr>
      <w:bookmarkStart w:id="35" w:name="_Toc448251139"/>
      <w:r w:rsidRPr="00A859AF">
        <w:rPr>
          <w:b/>
          <w:sz w:val="26"/>
          <w:szCs w:val="26"/>
        </w:rPr>
        <w:t>3.1.2. Сведения о государственной регистрации эмитента</w:t>
      </w:r>
      <w:bookmarkEnd w:id="35"/>
    </w:p>
    <w:p w:rsidR="000647F2" w:rsidRDefault="000647F2" w:rsidP="00A859AF">
      <w:pPr>
        <w:pStyle w:val="ConsPlusNormal"/>
        <w:ind w:firstLine="540"/>
        <w:jc w:val="both"/>
        <w:rPr>
          <w:rFonts w:ascii="Times New Roman" w:hAnsi="Times New Roman" w:cs="Times New Roman"/>
        </w:rPr>
      </w:pPr>
    </w:p>
    <w:p w:rsidR="000647F2" w:rsidRPr="00794077" w:rsidRDefault="000647F2" w:rsidP="000647F2">
      <w:pPr>
        <w:ind w:firstLine="567"/>
        <w:jc w:val="both"/>
        <w:rPr>
          <w:rStyle w:val="Subst"/>
          <w:rFonts w:ascii="Arial" w:eastAsiaTheme="minorEastAsia" w:hAnsi="Arial" w:cs="Arial"/>
        </w:rPr>
      </w:pPr>
      <w:r w:rsidRPr="00513E75">
        <w:t>номер государственной регистрации юридического лица</w:t>
      </w:r>
      <w:r>
        <w:t xml:space="preserve">: </w:t>
      </w:r>
      <w:r w:rsidRPr="00794077">
        <w:rPr>
          <w:rStyle w:val="Subst"/>
          <w:rFonts w:ascii="Arial" w:eastAsiaTheme="minorEastAsia" w:hAnsi="Arial" w:cs="Arial"/>
        </w:rPr>
        <w:t>22446</w:t>
      </w:r>
    </w:p>
    <w:p w:rsidR="000647F2" w:rsidRPr="00794077" w:rsidRDefault="000647F2" w:rsidP="00A859AF">
      <w:pPr>
        <w:pStyle w:val="ConsPlusNormal"/>
        <w:ind w:firstLine="567"/>
        <w:jc w:val="both"/>
        <w:rPr>
          <w:rStyle w:val="Subst"/>
          <w:rFonts w:eastAsiaTheme="minorEastAsia"/>
        </w:rPr>
      </w:pPr>
      <w:r w:rsidRPr="00513E75">
        <w:rPr>
          <w:rFonts w:ascii="Times New Roman" w:hAnsi="Times New Roman" w:cs="Times New Roman"/>
        </w:rPr>
        <w:t>дата его государственной регистрации</w:t>
      </w:r>
      <w:r>
        <w:rPr>
          <w:rFonts w:ascii="Times New Roman" w:hAnsi="Times New Roman" w:cs="Times New Roman"/>
        </w:rPr>
        <w:t xml:space="preserve">: </w:t>
      </w:r>
      <w:r>
        <w:rPr>
          <w:rStyle w:val="Subst"/>
          <w:rFonts w:eastAsiaTheme="minorEastAsia"/>
        </w:rPr>
        <w:t>28.12.1995</w:t>
      </w:r>
    </w:p>
    <w:p w:rsidR="000647F2" w:rsidRPr="00794077" w:rsidRDefault="000647F2" w:rsidP="000647F2">
      <w:pPr>
        <w:ind w:firstLine="567"/>
        <w:jc w:val="both"/>
        <w:rPr>
          <w:rStyle w:val="Subst"/>
          <w:rFonts w:ascii="Arial" w:eastAsiaTheme="minorEastAsia" w:hAnsi="Arial" w:cs="Arial"/>
        </w:rPr>
      </w:pPr>
      <w:r w:rsidRPr="00513E75">
        <w:t>наименование органа, осуществившего государственную регистрацию юридического лица</w:t>
      </w:r>
      <w:r>
        <w:t xml:space="preserve">: </w:t>
      </w:r>
      <w:r w:rsidRPr="00794077">
        <w:rPr>
          <w:rStyle w:val="Subst"/>
          <w:rFonts w:ascii="Arial" w:eastAsiaTheme="minorEastAsia" w:hAnsi="Arial" w:cs="Arial"/>
        </w:rPr>
        <w:t>Регистрационная палата Санкт-Петербурга</w:t>
      </w:r>
    </w:p>
    <w:p w:rsidR="000647F2" w:rsidRPr="00794077" w:rsidRDefault="000647F2" w:rsidP="000647F2">
      <w:pPr>
        <w:ind w:firstLine="567"/>
        <w:jc w:val="both"/>
        <w:rPr>
          <w:rStyle w:val="Subst"/>
          <w:rFonts w:ascii="Arial" w:eastAsiaTheme="minorEastAsia" w:hAnsi="Arial" w:cs="Arial"/>
        </w:rPr>
      </w:pPr>
      <w:r w:rsidRPr="00513E75">
        <w:t>ОГРН (если применимо) юридического лица</w:t>
      </w:r>
      <w:r>
        <w:t xml:space="preserve">: </w:t>
      </w:r>
      <w:r w:rsidRPr="00794077">
        <w:rPr>
          <w:rStyle w:val="Subst"/>
          <w:rFonts w:ascii="Arial" w:eastAsiaTheme="minorEastAsia" w:hAnsi="Arial" w:cs="Arial"/>
        </w:rPr>
        <w:t>1027801544308</w:t>
      </w:r>
    </w:p>
    <w:p w:rsidR="000647F2" w:rsidRDefault="000647F2" w:rsidP="00A859AF">
      <w:pPr>
        <w:pStyle w:val="ConsPlusNormal"/>
        <w:ind w:firstLine="567"/>
        <w:jc w:val="both"/>
        <w:rPr>
          <w:rFonts w:ascii="Times New Roman" w:hAnsi="Times New Roman" w:cs="Times New Roman"/>
        </w:rPr>
      </w:pPr>
      <w:r w:rsidRPr="00513E75">
        <w:rPr>
          <w:rFonts w:ascii="Times New Roman" w:hAnsi="Times New Roman" w:cs="Times New Roman"/>
        </w:rPr>
        <w:t>дата его присвоения (дата внесения записи о юридическом лице, зарегистрированном до 1 июля 2002 года, в единый государственный реестр юридических лиц)</w:t>
      </w:r>
      <w:r>
        <w:rPr>
          <w:rFonts w:ascii="Times New Roman" w:hAnsi="Times New Roman" w:cs="Times New Roman"/>
        </w:rPr>
        <w:t xml:space="preserve">: </w:t>
      </w:r>
      <w:r>
        <w:rPr>
          <w:rStyle w:val="Subst"/>
          <w:rFonts w:eastAsiaTheme="minorEastAsia"/>
        </w:rPr>
        <w:t>28.10.2002</w:t>
      </w:r>
    </w:p>
    <w:p w:rsidR="000647F2" w:rsidRPr="00794077" w:rsidRDefault="000647F2" w:rsidP="00A859AF">
      <w:pPr>
        <w:pStyle w:val="ConsPlusNormal"/>
        <w:ind w:firstLine="567"/>
        <w:jc w:val="both"/>
        <w:rPr>
          <w:rStyle w:val="Subst"/>
          <w:rFonts w:eastAsiaTheme="minorEastAsia"/>
        </w:rPr>
      </w:pPr>
      <w:r w:rsidRPr="00513E75">
        <w:rPr>
          <w:rFonts w:ascii="Times New Roman" w:hAnsi="Times New Roman" w:cs="Times New Roman"/>
        </w:rPr>
        <w:t>наименование регистрирующего органа, внесшего запись о юридическом лице, зарегистрированном до 1 июля 2002 года, в единый государ</w:t>
      </w:r>
      <w:r>
        <w:rPr>
          <w:rFonts w:ascii="Times New Roman" w:hAnsi="Times New Roman" w:cs="Times New Roman"/>
        </w:rPr>
        <w:t xml:space="preserve">ственный реестр юридических лиц: </w:t>
      </w:r>
      <w:r>
        <w:rPr>
          <w:rStyle w:val="Subst"/>
          <w:rFonts w:eastAsiaTheme="minorEastAsia"/>
        </w:rPr>
        <w:t>ИМНС России по Выборгскому району Санкт-Петербурга</w:t>
      </w:r>
    </w:p>
    <w:p w:rsidR="000647F2" w:rsidRPr="00513E75" w:rsidRDefault="000647F2" w:rsidP="00A859AF">
      <w:pPr>
        <w:pStyle w:val="ConsPlusNormal"/>
        <w:ind w:firstLine="540"/>
        <w:jc w:val="both"/>
        <w:rPr>
          <w:rFonts w:ascii="Times New Roman" w:hAnsi="Times New Roman" w:cs="Times New Roman"/>
        </w:rPr>
      </w:pPr>
    </w:p>
    <w:p w:rsidR="000647F2" w:rsidRPr="00A859AF" w:rsidRDefault="000647F2" w:rsidP="00A859AF">
      <w:pPr>
        <w:pStyle w:val="ConsPlusNormal"/>
        <w:ind w:firstLine="540"/>
        <w:jc w:val="both"/>
        <w:outlineLvl w:val="2"/>
        <w:rPr>
          <w:b/>
          <w:sz w:val="26"/>
          <w:szCs w:val="26"/>
        </w:rPr>
      </w:pPr>
      <w:bookmarkStart w:id="36" w:name="_Toc448251140"/>
      <w:r w:rsidRPr="00A859AF">
        <w:rPr>
          <w:b/>
          <w:sz w:val="26"/>
          <w:szCs w:val="26"/>
        </w:rPr>
        <w:t>3.1.3. Сведения о создании и развитии эмитента</w:t>
      </w:r>
      <w:bookmarkEnd w:id="36"/>
    </w:p>
    <w:p w:rsidR="000647F2" w:rsidRDefault="000647F2" w:rsidP="00A859AF">
      <w:pPr>
        <w:pStyle w:val="ConsPlusNormal"/>
        <w:ind w:firstLine="540"/>
        <w:jc w:val="both"/>
        <w:rPr>
          <w:rFonts w:ascii="Times New Roman" w:hAnsi="Times New Roman" w:cs="Times New Roman"/>
        </w:rPr>
      </w:pPr>
    </w:p>
    <w:p w:rsidR="00BE3CF0" w:rsidRPr="00605124" w:rsidRDefault="00BE3CF0" w:rsidP="0025771F">
      <w:pPr>
        <w:ind w:firstLine="567"/>
        <w:jc w:val="both"/>
        <w:rPr>
          <w:rFonts w:ascii="Arial" w:hAnsi="Arial" w:cs="Arial"/>
          <w:b/>
          <w:i/>
        </w:rPr>
      </w:pPr>
      <w:r>
        <w:t>С</w:t>
      </w:r>
      <w:r w:rsidRPr="00513E75">
        <w:t>рок, до которого эмитент будет существовать, в случае, если он создан на определенный срок или до достижения определенной цели, либо указывается на то, что эмитен</w:t>
      </w:r>
      <w:r>
        <w:t xml:space="preserve">т создан на неопределенный срок: </w:t>
      </w:r>
      <w:r w:rsidRPr="00605124">
        <w:rPr>
          <w:rStyle w:val="Subst"/>
          <w:rFonts w:ascii="Arial" w:eastAsiaTheme="minorEastAsia" w:hAnsi="Arial" w:cs="Arial"/>
        </w:rPr>
        <w:t xml:space="preserve">Эмитент создан на неопределенный срок. </w:t>
      </w:r>
      <w:r w:rsidRPr="00605124">
        <w:rPr>
          <w:rFonts w:ascii="Arial" w:hAnsi="Arial" w:cs="Arial"/>
          <w:b/>
          <w:i/>
        </w:rPr>
        <w:t>В соответствии с п. 2.2 Устава  Эмитент создан без ограничения срока деятельности.</w:t>
      </w:r>
    </w:p>
    <w:p w:rsidR="00BE3CF0" w:rsidRPr="00513E75" w:rsidRDefault="00BE3CF0" w:rsidP="00A859AF">
      <w:pPr>
        <w:pStyle w:val="ConsPlusNormal"/>
        <w:jc w:val="both"/>
        <w:rPr>
          <w:rFonts w:ascii="Times New Roman" w:hAnsi="Times New Roman" w:cs="Times New Roman"/>
        </w:rPr>
      </w:pPr>
    </w:p>
    <w:p w:rsidR="00BE3CF0" w:rsidRDefault="00BE3CF0" w:rsidP="00A859AF">
      <w:pPr>
        <w:pStyle w:val="ConsPlusNormal"/>
        <w:ind w:firstLine="540"/>
        <w:jc w:val="both"/>
        <w:rPr>
          <w:rFonts w:ascii="Times New Roman" w:hAnsi="Times New Roman" w:cs="Times New Roman"/>
        </w:rPr>
      </w:pPr>
      <w:r w:rsidRPr="00513E75">
        <w:rPr>
          <w:rFonts w:ascii="Times New Roman" w:hAnsi="Times New Roman" w:cs="Times New Roman"/>
        </w:rPr>
        <w:t xml:space="preserve">Дается краткое описание истории создания и развития эмитента. </w:t>
      </w:r>
    </w:p>
    <w:p w:rsidR="00BE3CF0" w:rsidRPr="00605124" w:rsidRDefault="00BE3CF0" w:rsidP="00A859AF">
      <w:pPr>
        <w:pStyle w:val="ConsPlusNormal"/>
        <w:ind w:firstLine="540"/>
        <w:jc w:val="both"/>
        <w:rPr>
          <w:rStyle w:val="Subst"/>
          <w:rFonts w:eastAsiaTheme="minorEastAsia"/>
        </w:rPr>
      </w:pPr>
    </w:p>
    <w:p w:rsidR="00BE3CF0" w:rsidRPr="00605124" w:rsidRDefault="00BE3CF0" w:rsidP="00BE3CF0">
      <w:pPr>
        <w:tabs>
          <w:tab w:val="left" w:pos="540"/>
        </w:tabs>
        <w:ind w:firstLine="709"/>
        <w:jc w:val="both"/>
        <w:rPr>
          <w:rFonts w:ascii="Arial" w:hAnsi="Arial" w:cs="Arial"/>
          <w:b/>
          <w:bCs/>
          <w:i/>
          <w:iCs/>
        </w:rPr>
      </w:pPr>
      <w:r w:rsidRPr="00605124">
        <w:rPr>
          <w:rFonts w:ascii="Arial" w:hAnsi="Arial" w:cs="Arial"/>
          <w:b/>
          <w:bCs/>
          <w:i/>
          <w:iCs/>
        </w:rPr>
        <w:t>Государственная регистрация Эмитента была осуществлена 28 декабря 1995 года Регистрационной палатой Санкт-Петербурга за №22446 (на основании решения Регистрационной палаты Санкт-Петербурга №31502 от 28 декабря 1995 года). Эмитент является правопреемником Производственно-Кооперативного Предприятия «Ленинградское Специализированное Строительно-Монтажное Управление».</w:t>
      </w:r>
    </w:p>
    <w:p w:rsidR="00BE3CF0" w:rsidRPr="00605124" w:rsidRDefault="00BE3CF0" w:rsidP="00BE3CF0">
      <w:pPr>
        <w:ind w:firstLine="709"/>
        <w:jc w:val="both"/>
        <w:rPr>
          <w:rFonts w:ascii="Arial" w:hAnsi="Arial" w:cs="Arial"/>
          <w:b/>
          <w:bCs/>
          <w:i/>
          <w:iCs/>
        </w:rPr>
      </w:pPr>
      <w:r w:rsidRPr="00605124">
        <w:rPr>
          <w:rFonts w:ascii="Arial" w:hAnsi="Arial" w:cs="Arial"/>
          <w:b/>
          <w:bCs/>
          <w:i/>
          <w:iCs/>
        </w:rPr>
        <w:t xml:space="preserve">С даты государственной регистрации Эмитент постепенно начинает выполнять подрядные и генподрядные работы для сторонних заказчиков. C 1997 года начинается последовательное приобретение и создание дочерних предприятий строительного комплекса, специализирующихся на выполнении отдельных строительных и производственных работ. Расширение инвестиционной деятельности, освоение новых секторов рынка, создание и приобретение новых предприятий, производящих продукцию и предоставляющих услуги для действующих производств, привело к необходимости создания единой структуры группы, в которую и входит Эмитент. </w:t>
      </w:r>
    </w:p>
    <w:p w:rsidR="00BE3CF0" w:rsidRPr="00605124" w:rsidRDefault="00BE3CF0" w:rsidP="00BE3CF0">
      <w:pPr>
        <w:ind w:firstLine="709"/>
        <w:jc w:val="both"/>
        <w:rPr>
          <w:rFonts w:ascii="Arial" w:hAnsi="Arial" w:cs="Arial"/>
          <w:b/>
          <w:bCs/>
          <w:i/>
          <w:iCs/>
        </w:rPr>
      </w:pPr>
      <w:r w:rsidRPr="00605124">
        <w:rPr>
          <w:rFonts w:ascii="Arial" w:hAnsi="Arial" w:cs="Arial"/>
          <w:b/>
          <w:bCs/>
          <w:i/>
          <w:iCs/>
        </w:rPr>
        <w:t>В 2006 году Эмитент становится первой строительной компанией в России, получившей долгосрочный кредитный рейтинг от международного агентства Standard and Poor’s на уровне «B», который был подтвержден рейтинговым агентством на том же уровне даже в период глобального финансового кризиса 2008–2009 г</w:t>
      </w:r>
      <w:r w:rsidR="00B80B68">
        <w:rPr>
          <w:rFonts w:ascii="Arial" w:hAnsi="Arial" w:cs="Arial"/>
          <w:b/>
          <w:bCs/>
          <w:i/>
          <w:iCs/>
        </w:rPr>
        <w:t>одов</w:t>
      </w:r>
      <w:r w:rsidRPr="00605124">
        <w:rPr>
          <w:rFonts w:ascii="Arial" w:hAnsi="Arial" w:cs="Arial"/>
          <w:b/>
          <w:bCs/>
          <w:i/>
          <w:iCs/>
        </w:rPr>
        <w:t xml:space="preserve">. </w:t>
      </w:r>
    </w:p>
    <w:p w:rsidR="00BE3CF0" w:rsidRPr="00605124" w:rsidRDefault="00BE3CF0" w:rsidP="00BE3CF0">
      <w:pPr>
        <w:ind w:firstLine="709"/>
        <w:jc w:val="both"/>
        <w:rPr>
          <w:rFonts w:ascii="Arial" w:hAnsi="Arial" w:cs="Arial"/>
          <w:b/>
          <w:bCs/>
          <w:i/>
          <w:iCs/>
        </w:rPr>
      </w:pPr>
      <w:r w:rsidRPr="00605124">
        <w:rPr>
          <w:rFonts w:ascii="Arial" w:hAnsi="Arial" w:cs="Arial"/>
          <w:b/>
          <w:bCs/>
          <w:i/>
          <w:iCs/>
        </w:rPr>
        <w:t>В 2013 году Standard and Poor’s впервые присвоила долгосрочный кредитный рейтинг российской строительной компании на уровне «B+». В 2014 -2015 год</w:t>
      </w:r>
      <w:r w:rsidR="0025771F">
        <w:rPr>
          <w:rFonts w:ascii="Arial" w:hAnsi="Arial" w:cs="Arial"/>
          <w:b/>
          <w:bCs/>
          <w:i/>
          <w:iCs/>
        </w:rPr>
        <w:t>ах</w:t>
      </w:r>
      <w:r w:rsidRPr="00605124">
        <w:rPr>
          <w:rFonts w:ascii="Arial" w:hAnsi="Arial" w:cs="Arial"/>
          <w:b/>
          <w:bCs/>
          <w:i/>
          <w:iCs/>
        </w:rPr>
        <w:t xml:space="preserve"> Эмитент подтвердил долгосрочный кредитный рейтинг на уровне «B+». </w:t>
      </w:r>
    </w:p>
    <w:p w:rsidR="00BE3CF0" w:rsidRPr="00605124" w:rsidRDefault="00BE3CF0" w:rsidP="00BE3CF0">
      <w:pPr>
        <w:ind w:firstLine="709"/>
        <w:jc w:val="both"/>
        <w:rPr>
          <w:rFonts w:ascii="Arial" w:hAnsi="Arial" w:cs="Arial"/>
          <w:b/>
          <w:bCs/>
          <w:i/>
          <w:iCs/>
        </w:rPr>
      </w:pPr>
      <w:r w:rsidRPr="00605124">
        <w:rPr>
          <w:rFonts w:ascii="Arial" w:hAnsi="Arial" w:cs="Arial"/>
          <w:b/>
          <w:bCs/>
          <w:i/>
          <w:iCs/>
        </w:rPr>
        <w:t>Эмитент обладает опытом привлечения заемных средств на  публичном рынке капитала. В 2009 году Эмитентом был размещен первый и единственный в этом году для компаний российской строительной отрасли облигационный заем. В 2010 году Эмитентом были размещены биржевые облигации. В 2012 году Эмитент впервые среди российских строительных компаний  разместил долговые ценные бумаги с дюрацией свыше 3 лет. Данный выпуск стал первым в истории Эмитента, включенным в котировальный список «А1» ЗАО «ФБ ММВБ» (в 2014 году облигации были переведены в </w:t>
      </w:r>
      <w:hyperlink r:id="rId10" w:tgtFrame="_blank" w:history="1">
        <w:r w:rsidRPr="00605124">
          <w:rPr>
            <w:rFonts w:ascii="Arial" w:hAnsi="Arial" w:cs="Arial"/>
            <w:b/>
            <w:bCs/>
            <w:i/>
            <w:iCs/>
          </w:rPr>
          <w:t>первый (высший) уровень обновленного Списка ценных бумаг</w:t>
        </w:r>
      </w:hyperlink>
      <w:r w:rsidRPr="00605124">
        <w:rPr>
          <w:rFonts w:ascii="Arial" w:hAnsi="Arial" w:cs="Arial"/>
          <w:b/>
          <w:bCs/>
          <w:i/>
          <w:iCs/>
        </w:rPr>
        <w:t xml:space="preserve">). </w:t>
      </w:r>
    </w:p>
    <w:p w:rsidR="00BE3CF0" w:rsidRPr="00605124" w:rsidRDefault="00BE3CF0" w:rsidP="00BE3CF0">
      <w:pPr>
        <w:ind w:firstLine="709"/>
        <w:jc w:val="both"/>
        <w:rPr>
          <w:rFonts w:ascii="Arial" w:hAnsi="Arial" w:cs="Arial"/>
          <w:bCs/>
          <w:iCs/>
        </w:rPr>
      </w:pPr>
      <w:r w:rsidRPr="00605124">
        <w:rPr>
          <w:rFonts w:ascii="Arial" w:hAnsi="Arial" w:cs="Arial"/>
          <w:b/>
          <w:bCs/>
          <w:i/>
          <w:iCs/>
        </w:rPr>
        <w:t xml:space="preserve">Все выпуски облигаций были включены в раздел V.2 Ломбардного списка Банка России, а также в </w:t>
      </w:r>
      <w:hyperlink r:id="rId11" w:tgtFrame="_blank" w:history="1">
        <w:r w:rsidRPr="00605124">
          <w:rPr>
            <w:rFonts w:ascii="Arial" w:hAnsi="Arial" w:cs="Arial"/>
            <w:b/>
            <w:bCs/>
            <w:i/>
            <w:iCs/>
          </w:rPr>
          <w:t>перечень ценных бумаг, принимаемых в обеспечение по сделкам прямого РЕПО Центральным банком РФ</w:t>
        </w:r>
      </w:hyperlink>
      <w:r w:rsidRPr="00605124">
        <w:rPr>
          <w:rFonts w:ascii="Arial" w:hAnsi="Arial" w:cs="Arial"/>
          <w:b/>
          <w:bCs/>
          <w:i/>
          <w:iCs/>
        </w:rPr>
        <w:t xml:space="preserve">. </w:t>
      </w:r>
    </w:p>
    <w:p w:rsidR="00BE3CF0" w:rsidRPr="00605124" w:rsidRDefault="00BE3CF0" w:rsidP="00BE3CF0">
      <w:pPr>
        <w:ind w:firstLine="709"/>
        <w:jc w:val="both"/>
        <w:rPr>
          <w:rFonts w:ascii="Arial" w:hAnsi="Arial" w:cs="Arial"/>
          <w:b/>
          <w:bCs/>
          <w:i/>
          <w:iCs/>
        </w:rPr>
      </w:pPr>
      <w:r w:rsidRPr="00605124">
        <w:rPr>
          <w:rFonts w:ascii="Arial" w:hAnsi="Arial" w:cs="Arial"/>
          <w:b/>
          <w:bCs/>
          <w:i/>
          <w:iCs/>
        </w:rPr>
        <w:t>Эмитент специализируется на массовом жилищном строительстве с применением кирпично-монолитной технологии в сегменте жилой недвижимости класса «комфорт». Региональный рынок Эмитента – г. Санкт-Петербург.</w:t>
      </w:r>
    </w:p>
    <w:p w:rsidR="00BE3CF0" w:rsidRPr="00605124" w:rsidRDefault="00BE3CF0" w:rsidP="00BE3CF0">
      <w:pPr>
        <w:ind w:firstLine="709"/>
        <w:jc w:val="both"/>
        <w:rPr>
          <w:rFonts w:ascii="Arial" w:hAnsi="Arial" w:cs="Arial"/>
          <w:b/>
          <w:bCs/>
          <w:i/>
          <w:iCs/>
        </w:rPr>
      </w:pPr>
      <w:r w:rsidRPr="00605124">
        <w:rPr>
          <w:rFonts w:ascii="Arial" w:hAnsi="Arial" w:cs="Arial"/>
          <w:b/>
          <w:bCs/>
          <w:i/>
          <w:iCs/>
        </w:rPr>
        <w:t>За период с даты начала существования бренда ЛенСпецСМУ было построено более 3,5 млн кв. м жилой недвижимости. За период 2011–2015 г</w:t>
      </w:r>
      <w:r w:rsidR="00997856">
        <w:rPr>
          <w:rFonts w:ascii="Arial" w:hAnsi="Arial" w:cs="Arial"/>
          <w:b/>
          <w:bCs/>
          <w:i/>
          <w:iCs/>
        </w:rPr>
        <w:t>одов</w:t>
      </w:r>
      <w:r w:rsidRPr="00605124">
        <w:rPr>
          <w:rFonts w:ascii="Arial" w:hAnsi="Arial" w:cs="Arial"/>
          <w:b/>
          <w:bCs/>
          <w:i/>
          <w:iCs/>
        </w:rPr>
        <w:t xml:space="preserve"> и до даты утверждения Проспекта ценных бумаг Эмитентом были введены в эксплуатацию следующие объекты:</w:t>
      </w:r>
    </w:p>
    <w:tbl>
      <w:tblPr>
        <w:tblW w:w="5013" w:type="pct"/>
        <w:tblInd w:w="108" w:type="dxa"/>
        <w:tblLook w:val="04A0" w:firstRow="1" w:lastRow="0" w:firstColumn="1" w:lastColumn="0" w:noHBand="0" w:noVBand="1"/>
      </w:tblPr>
      <w:tblGrid>
        <w:gridCol w:w="900"/>
        <w:gridCol w:w="3773"/>
        <w:gridCol w:w="3629"/>
        <w:gridCol w:w="1294"/>
      </w:tblGrid>
      <w:tr w:rsidR="00BE3CF0" w:rsidRPr="00605124" w:rsidTr="00BE3CF0">
        <w:trPr>
          <w:cantSplit/>
          <w:trHeight w:val="567"/>
        </w:trPr>
        <w:tc>
          <w:tcPr>
            <w:tcW w:w="46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3CF0" w:rsidRPr="00605124" w:rsidRDefault="00BE3CF0" w:rsidP="0060155C">
            <w:pPr>
              <w:jc w:val="center"/>
              <w:rPr>
                <w:rFonts w:ascii="Arial" w:hAnsi="Arial" w:cs="Arial"/>
                <w:b/>
                <w:bCs/>
              </w:rPr>
            </w:pPr>
            <w:r w:rsidRPr="00605124">
              <w:rPr>
                <w:rFonts w:ascii="Arial" w:hAnsi="Arial" w:cs="Arial"/>
                <w:b/>
                <w:bCs/>
              </w:rPr>
              <w:t>Год</w:t>
            </w:r>
          </w:p>
        </w:tc>
        <w:tc>
          <w:tcPr>
            <w:tcW w:w="1966" w:type="pct"/>
            <w:tcBorders>
              <w:top w:val="single" w:sz="4" w:space="0" w:color="auto"/>
              <w:left w:val="nil"/>
              <w:bottom w:val="single" w:sz="4" w:space="0" w:color="auto"/>
              <w:right w:val="single" w:sz="4" w:space="0" w:color="auto"/>
            </w:tcBorders>
            <w:shd w:val="clear" w:color="auto" w:fill="auto"/>
            <w:noWrap/>
            <w:vAlign w:val="center"/>
            <w:hideMark/>
          </w:tcPr>
          <w:p w:rsidR="00BE3CF0" w:rsidRPr="00605124" w:rsidRDefault="00BE3CF0" w:rsidP="0060155C">
            <w:pPr>
              <w:jc w:val="center"/>
              <w:rPr>
                <w:rFonts w:ascii="Arial" w:hAnsi="Arial" w:cs="Arial"/>
                <w:b/>
                <w:bCs/>
              </w:rPr>
            </w:pPr>
            <w:r w:rsidRPr="00605124">
              <w:rPr>
                <w:rFonts w:ascii="Arial" w:hAnsi="Arial" w:cs="Arial"/>
                <w:b/>
                <w:bCs/>
              </w:rPr>
              <w:t>Объект</w:t>
            </w:r>
          </w:p>
        </w:tc>
        <w:tc>
          <w:tcPr>
            <w:tcW w:w="1890" w:type="pct"/>
            <w:tcBorders>
              <w:top w:val="single" w:sz="4" w:space="0" w:color="auto"/>
              <w:left w:val="nil"/>
              <w:bottom w:val="single" w:sz="4" w:space="0" w:color="auto"/>
              <w:right w:val="single" w:sz="4" w:space="0" w:color="auto"/>
            </w:tcBorders>
            <w:shd w:val="clear" w:color="auto" w:fill="auto"/>
            <w:noWrap/>
            <w:vAlign w:val="center"/>
            <w:hideMark/>
          </w:tcPr>
          <w:p w:rsidR="00BE3CF0" w:rsidRPr="00605124" w:rsidRDefault="00BE3CF0" w:rsidP="0060155C">
            <w:pPr>
              <w:jc w:val="center"/>
              <w:rPr>
                <w:rFonts w:ascii="Arial" w:hAnsi="Arial" w:cs="Arial"/>
                <w:b/>
                <w:bCs/>
              </w:rPr>
            </w:pPr>
            <w:r w:rsidRPr="00605124">
              <w:rPr>
                <w:rFonts w:ascii="Arial" w:hAnsi="Arial" w:cs="Arial"/>
                <w:b/>
                <w:bCs/>
              </w:rPr>
              <w:t>Адрес</w:t>
            </w:r>
          </w:p>
        </w:tc>
        <w:tc>
          <w:tcPr>
            <w:tcW w:w="674" w:type="pct"/>
            <w:tcBorders>
              <w:top w:val="single" w:sz="4" w:space="0" w:color="auto"/>
              <w:left w:val="nil"/>
              <w:bottom w:val="single" w:sz="4" w:space="0" w:color="auto"/>
              <w:right w:val="single" w:sz="4" w:space="0" w:color="auto"/>
            </w:tcBorders>
            <w:shd w:val="clear" w:color="auto" w:fill="auto"/>
            <w:noWrap/>
            <w:vAlign w:val="center"/>
            <w:hideMark/>
          </w:tcPr>
          <w:p w:rsidR="00BE3CF0" w:rsidRPr="00605124" w:rsidRDefault="00BE3CF0" w:rsidP="0060155C">
            <w:pPr>
              <w:ind w:firstLine="33"/>
              <w:jc w:val="center"/>
              <w:rPr>
                <w:rFonts w:ascii="Arial" w:hAnsi="Arial" w:cs="Arial"/>
                <w:b/>
                <w:bCs/>
              </w:rPr>
            </w:pPr>
            <w:r w:rsidRPr="00605124">
              <w:rPr>
                <w:rFonts w:ascii="Arial" w:hAnsi="Arial" w:cs="Arial"/>
                <w:b/>
                <w:bCs/>
              </w:rPr>
              <w:t xml:space="preserve">Площадь, </w:t>
            </w:r>
          </w:p>
          <w:p w:rsidR="00BE3CF0" w:rsidRPr="00605124" w:rsidRDefault="00BE3CF0" w:rsidP="0060155C">
            <w:pPr>
              <w:ind w:firstLine="33"/>
              <w:jc w:val="center"/>
              <w:rPr>
                <w:rFonts w:ascii="Arial" w:hAnsi="Arial" w:cs="Arial"/>
                <w:b/>
                <w:bCs/>
              </w:rPr>
            </w:pPr>
            <w:r w:rsidRPr="00605124">
              <w:rPr>
                <w:rFonts w:ascii="Arial" w:hAnsi="Arial" w:cs="Arial"/>
                <w:b/>
                <w:bCs/>
              </w:rPr>
              <w:t>кв. м*</w:t>
            </w:r>
          </w:p>
        </w:tc>
      </w:tr>
      <w:tr w:rsidR="00BE3CF0" w:rsidRPr="00605124" w:rsidTr="00BE3CF0">
        <w:trPr>
          <w:cantSplit/>
          <w:trHeight w:val="567"/>
        </w:trPr>
        <w:tc>
          <w:tcPr>
            <w:tcW w:w="469"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3CF0" w:rsidRPr="00605124" w:rsidRDefault="00787E07" w:rsidP="0060155C">
            <w:pPr>
              <w:jc w:val="center"/>
              <w:rPr>
                <w:rFonts w:ascii="Arial" w:hAnsi="Arial" w:cs="Arial"/>
                <w:b/>
                <w:bCs/>
              </w:rPr>
            </w:pPr>
            <w:r>
              <w:rPr>
                <w:rFonts w:ascii="Arial" w:hAnsi="Arial" w:cs="Arial"/>
                <w:b/>
                <w:bCs/>
              </w:rPr>
              <w:t>2011</w:t>
            </w: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25771F">
            <w:pPr>
              <w:rPr>
                <w:rFonts w:ascii="Arial" w:hAnsi="Arial" w:cs="Arial"/>
                <w:b/>
                <w:bCs/>
              </w:rPr>
            </w:pPr>
            <w:r w:rsidRPr="00605124">
              <w:rPr>
                <w:rFonts w:ascii="Arial" w:hAnsi="Arial" w:cs="Arial"/>
              </w:rPr>
              <w:t>Талисман, в т.ч. а/с</w:t>
            </w:r>
          </w:p>
        </w:tc>
        <w:tc>
          <w:tcPr>
            <w:tcW w:w="1890"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rPr>
                <w:rFonts w:ascii="Arial" w:hAnsi="Arial" w:cs="Arial"/>
                <w:b/>
                <w:bCs/>
              </w:rPr>
            </w:pPr>
            <w:r w:rsidRPr="00605124">
              <w:rPr>
                <w:rFonts w:ascii="Arial" w:hAnsi="Arial" w:cs="Arial"/>
              </w:rPr>
              <w:t>15-я линия В.О., д. 76,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ind w:firstLine="33"/>
              <w:jc w:val="right"/>
              <w:rPr>
                <w:rFonts w:ascii="Arial" w:hAnsi="Arial" w:cs="Arial"/>
                <w:b/>
                <w:bCs/>
              </w:rPr>
            </w:pPr>
            <w:r w:rsidRPr="00605124">
              <w:rPr>
                <w:rFonts w:ascii="Arial" w:hAnsi="Arial" w:cs="Arial"/>
              </w:rPr>
              <w:t>15 016,9</w:t>
            </w:r>
          </w:p>
        </w:tc>
      </w:tr>
      <w:tr w:rsidR="00BE3CF0" w:rsidRPr="00605124" w:rsidTr="00BE3CF0">
        <w:trPr>
          <w:cantSplit/>
          <w:trHeight w:val="567"/>
        </w:trPr>
        <w:tc>
          <w:tcPr>
            <w:tcW w:w="469" w:type="pct"/>
            <w:vMerge/>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rPr>
                <w:rFonts w:ascii="Arial" w:hAnsi="Arial" w:cs="Arial"/>
              </w:rPr>
            </w:pPr>
            <w:r w:rsidRPr="00605124">
              <w:rPr>
                <w:rFonts w:ascii="Arial" w:hAnsi="Arial" w:cs="Arial"/>
              </w:rPr>
              <w:t>Юбилейный квартал 78А кор. 6, в т.ч. а/с</w:t>
            </w:r>
          </w:p>
        </w:tc>
        <w:tc>
          <w:tcPr>
            <w:tcW w:w="1890"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rPr>
                <w:rFonts w:ascii="Arial" w:hAnsi="Arial" w:cs="Arial"/>
              </w:rPr>
            </w:pPr>
            <w:r w:rsidRPr="00605124">
              <w:rPr>
                <w:rFonts w:ascii="Arial" w:hAnsi="Arial" w:cs="Arial"/>
              </w:rPr>
              <w:t>пр. Королева, д. 65,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rPr>
                <w:rFonts w:ascii="Arial" w:hAnsi="Arial" w:cs="Arial"/>
              </w:rPr>
            </w:pPr>
            <w:r w:rsidRPr="00605124">
              <w:rPr>
                <w:rFonts w:ascii="Arial" w:hAnsi="Arial" w:cs="Arial"/>
              </w:rPr>
              <w:t>70 570,9</w:t>
            </w:r>
          </w:p>
        </w:tc>
      </w:tr>
      <w:tr w:rsidR="00BE3CF0" w:rsidRPr="00605124" w:rsidTr="00BE3CF0">
        <w:trPr>
          <w:cantSplit/>
          <w:trHeight w:val="567"/>
        </w:trPr>
        <w:tc>
          <w:tcPr>
            <w:tcW w:w="469" w:type="pct"/>
            <w:vMerge/>
            <w:tcBorders>
              <w:top w:val="single" w:sz="4" w:space="0" w:color="auto"/>
              <w:left w:val="single" w:sz="4" w:space="0" w:color="auto"/>
              <w:bottom w:val="single" w:sz="4" w:space="0" w:color="auto"/>
              <w:right w:val="single" w:sz="4" w:space="0" w:color="auto"/>
            </w:tcBorders>
            <w:vAlign w:val="center"/>
            <w:hideMark/>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E3CF0" w:rsidRPr="00605124" w:rsidRDefault="00BE3CF0" w:rsidP="0060155C">
            <w:pPr>
              <w:rPr>
                <w:rFonts w:ascii="Arial" w:hAnsi="Arial" w:cs="Arial"/>
              </w:rPr>
            </w:pPr>
            <w:r w:rsidRPr="00605124">
              <w:rPr>
                <w:rFonts w:ascii="Arial" w:hAnsi="Arial" w:cs="Arial"/>
              </w:rPr>
              <w:t>Юбилейный квартал 78А кор. 7 , в т.ч. а/с</w:t>
            </w:r>
          </w:p>
        </w:tc>
        <w:tc>
          <w:tcPr>
            <w:tcW w:w="18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E3CF0" w:rsidRPr="00605124" w:rsidRDefault="00BE3CF0" w:rsidP="0060155C">
            <w:pPr>
              <w:rPr>
                <w:rFonts w:ascii="Arial" w:hAnsi="Arial" w:cs="Arial"/>
              </w:rPr>
            </w:pPr>
            <w:r w:rsidRPr="00605124">
              <w:rPr>
                <w:rFonts w:ascii="Arial" w:hAnsi="Arial" w:cs="Arial"/>
              </w:rPr>
              <w:t>ул. Парашютная, д. 54,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3CF0" w:rsidRPr="00605124" w:rsidRDefault="00BE3CF0" w:rsidP="0060155C">
            <w:pPr>
              <w:jc w:val="right"/>
              <w:rPr>
                <w:rFonts w:ascii="Arial" w:hAnsi="Arial" w:cs="Arial"/>
              </w:rPr>
            </w:pPr>
            <w:r w:rsidRPr="00605124">
              <w:rPr>
                <w:rFonts w:ascii="Arial" w:hAnsi="Arial" w:cs="Arial"/>
              </w:rPr>
              <w:t>34 659,8</w:t>
            </w:r>
          </w:p>
        </w:tc>
      </w:tr>
      <w:tr w:rsidR="00BE3CF0" w:rsidRPr="00605124" w:rsidTr="00BE3CF0">
        <w:trPr>
          <w:cantSplit/>
          <w:trHeight w:val="567"/>
        </w:trPr>
        <w:tc>
          <w:tcPr>
            <w:tcW w:w="469" w:type="pct"/>
            <w:vMerge/>
            <w:tcBorders>
              <w:top w:val="single" w:sz="4" w:space="0" w:color="auto"/>
              <w:left w:val="single" w:sz="4" w:space="0" w:color="auto"/>
              <w:bottom w:val="single" w:sz="4" w:space="0" w:color="auto"/>
              <w:right w:val="single" w:sz="4" w:space="0" w:color="auto"/>
            </w:tcBorders>
            <w:vAlign w:val="center"/>
            <w:hideMark/>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E3CF0" w:rsidRPr="00605124" w:rsidRDefault="00BE3CF0" w:rsidP="0060155C">
            <w:pPr>
              <w:rPr>
                <w:rFonts w:ascii="Arial" w:hAnsi="Arial" w:cs="Arial"/>
              </w:rPr>
            </w:pPr>
            <w:r w:rsidRPr="00605124">
              <w:rPr>
                <w:rFonts w:ascii="Arial" w:hAnsi="Arial" w:cs="Arial"/>
              </w:rPr>
              <w:t>Юбилейный квартал 78А кор. 4</w:t>
            </w:r>
          </w:p>
        </w:tc>
        <w:tc>
          <w:tcPr>
            <w:tcW w:w="18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E3CF0" w:rsidRPr="00605124" w:rsidRDefault="00BE3CF0" w:rsidP="0060155C">
            <w:pPr>
              <w:rPr>
                <w:rFonts w:ascii="Arial" w:hAnsi="Arial" w:cs="Arial"/>
              </w:rPr>
            </w:pPr>
            <w:r w:rsidRPr="00605124">
              <w:rPr>
                <w:rFonts w:ascii="Arial" w:hAnsi="Arial" w:cs="Arial"/>
              </w:rPr>
              <w:t>пр. Королева, д. 63, кор. 2,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3CF0" w:rsidRPr="00605124" w:rsidRDefault="00BE3CF0" w:rsidP="0060155C">
            <w:pPr>
              <w:jc w:val="right"/>
              <w:rPr>
                <w:rFonts w:ascii="Arial" w:hAnsi="Arial" w:cs="Arial"/>
              </w:rPr>
            </w:pPr>
            <w:r w:rsidRPr="00605124">
              <w:rPr>
                <w:rFonts w:ascii="Arial" w:hAnsi="Arial" w:cs="Arial"/>
              </w:rPr>
              <w:t>33 085,3</w:t>
            </w:r>
          </w:p>
        </w:tc>
      </w:tr>
      <w:tr w:rsidR="00BE3CF0" w:rsidRPr="00605124" w:rsidTr="00BE3CF0">
        <w:trPr>
          <w:cantSplit/>
          <w:trHeight w:val="567"/>
        </w:trPr>
        <w:tc>
          <w:tcPr>
            <w:tcW w:w="469" w:type="pct"/>
            <w:vMerge/>
            <w:tcBorders>
              <w:top w:val="single" w:sz="4" w:space="0" w:color="auto"/>
              <w:left w:val="single" w:sz="4" w:space="0" w:color="auto"/>
              <w:bottom w:val="single" w:sz="4" w:space="0" w:color="auto"/>
              <w:right w:val="single" w:sz="4" w:space="0" w:color="auto"/>
            </w:tcBorders>
            <w:vAlign w:val="center"/>
            <w:hideMark/>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E3CF0" w:rsidRPr="00605124" w:rsidRDefault="00BE3CF0" w:rsidP="0060155C">
            <w:pPr>
              <w:rPr>
                <w:rFonts w:ascii="Arial" w:hAnsi="Arial" w:cs="Arial"/>
              </w:rPr>
            </w:pPr>
            <w:r w:rsidRPr="00605124">
              <w:rPr>
                <w:rFonts w:ascii="Arial" w:hAnsi="Arial" w:cs="Arial"/>
              </w:rPr>
              <w:t>Орбита кор. 1, в т.ч. а/с</w:t>
            </w:r>
          </w:p>
        </w:tc>
        <w:tc>
          <w:tcPr>
            <w:tcW w:w="18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E3CF0" w:rsidRPr="00605124" w:rsidRDefault="00BE3CF0" w:rsidP="0060155C">
            <w:pPr>
              <w:rPr>
                <w:rFonts w:ascii="Arial" w:hAnsi="Arial" w:cs="Arial"/>
              </w:rPr>
            </w:pPr>
            <w:r w:rsidRPr="00605124">
              <w:rPr>
                <w:rFonts w:ascii="Arial" w:hAnsi="Arial" w:cs="Arial"/>
              </w:rPr>
              <w:t>Гжатская ул., д. 22, кор. 3,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3CF0" w:rsidRPr="00605124" w:rsidRDefault="00BE3CF0" w:rsidP="0060155C">
            <w:pPr>
              <w:jc w:val="right"/>
              <w:rPr>
                <w:rFonts w:ascii="Arial" w:hAnsi="Arial" w:cs="Arial"/>
              </w:rPr>
            </w:pPr>
            <w:r w:rsidRPr="00605124">
              <w:rPr>
                <w:rFonts w:ascii="Arial" w:hAnsi="Arial" w:cs="Arial"/>
              </w:rPr>
              <w:t>75 664,6</w:t>
            </w:r>
          </w:p>
        </w:tc>
      </w:tr>
      <w:tr w:rsidR="00BE3CF0" w:rsidRPr="00605124" w:rsidTr="00BE3CF0">
        <w:trPr>
          <w:cantSplit/>
          <w:trHeight w:val="567"/>
        </w:trPr>
        <w:tc>
          <w:tcPr>
            <w:tcW w:w="4326" w:type="pct"/>
            <w:gridSpan w:val="3"/>
            <w:tcBorders>
              <w:top w:val="single" w:sz="4" w:space="0" w:color="auto"/>
              <w:left w:val="single" w:sz="4" w:space="0" w:color="auto"/>
              <w:bottom w:val="single" w:sz="4" w:space="0" w:color="auto"/>
              <w:right w:val="single" w:sz="4" w:space="0" w:color="auto"/>
            </w:tcBorders>
            <w:vAlign w:val="center"/>
            <w:hideMark/>
          </w:tcPr>
          <w:p w:rsidR="00BE3CF0" w:rsidRPr="00605124" w:rsidRDefault="00BE3CF0" w:rsidP="0060155C">
            <w:pPr>
              <w:rPr>
                <w:rFonts w:ascii="Arial" w:hAnsi="Arial" w:cs="Arial"/>
              </w:rPr>
            </w:pPr>
            <w:r w:rsidRPr="00605124">
              <w:rPr>
                <w:rFonts w:ascii="Arial" w:hAnsi="Arial" w:cs="Arial"/>
                <w:b/>
                <w:bCs/>
                <w:i/>
                <w:iCs/>
              </w:rPr>
              <w:t>Итого</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3CF0" w:rsidRPr="00605124" w:rsidRDefault="00BE3CF0" w:rsidP="0060155C">
            <w:pPr>
              <w:jc w:val="right"/>
              <w:rPr>
                <w:rFonts w:ascii="Arial" w:hAnsi="Arial" w:cs="Arial"/>
              </w:rPr>
            </w:pPr>
            <w:r w:rsidRPr="00605124">
              <w:rPr>
                <w:rFonts w:ascii="Arial" w:hAnsi="Arial" w:cs="Arial"/>
                <w:b/>
                <w:bCs/>
                <w:i/>
                <w:iCs/>
              </w:rPr>
              <w:t>228 997,5</w:t>
            </w:r>
          </w:p>
        </w:tc>
      </w:tr>
      <w:tr w:rsidR="00BE3CF0" w:rsidRPr="00605124" w:rsidTr="00BE3CF0">
        <w:trPr>
          <w:cantSplit/>
          <w:trHeight w:val="567"/>
        </w:trPr>
        <w:tc>
          <w:tcPr>
            <w:tcW w:w="469" w:type="pct"/>
            <w:vMerge w:val="restart"/>
            <w:tcBorders>
              <w:top w:val="single" w:sz="4" w:space="0" w:color="auto"/>
              <w:left w:val="single" w:sz="4" w:space="0" w:color="auto"/>
              <w:right w:val="single" w:sz="4" w:space="0" w:color="auto"/>
            </w:tcBorders>
            <w:shd w:val="clear" w:color="auto" w:fill="auto"/>
            <w:noWrap/>
            <w:vAlign w:val="center"/>
          </w:tcPr>
          <w:p w:rsidR="00BE3CF0" w:rsidRPr="00605124" w:rsidRDefault="00BE3CF0" w:rsidP="0060155C">
            <w:pPr>
              <w:jc w:val="center"/>
              <w:rPr>
                <w:rFonts w:ascii="Arial" w:hAnsi="Arial" w:cs="Arial"/>
                <w:b/>
                <w:bCs/>
              </w:rPr>
            </w:pPr>
            <w:r w:rsidRPr="00605124">
              <w:rPr>
                <w:rFonts w:ascii="Arial" w:hAnsi="Arial" w:cs="Arial"/>
                <w:b/>
                <w:bCs/>
              </w:rPr>
              <w:t>2012</w:t>
            </w: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jc w:val="both"/>
              <w:outlineLvl w:val="4"/>
              <w:rPr>
                <w:rFonts w:ascii="Arial" w:hAnsi="Arial" w:cs="Arial"/>
                <w:bCs/>
                <w:iCs/>
              </w:rPr>
            </w:pPr>
            <w:r w:rsidRPr="00605124">
              <w:rPr>
                <w:rFonts w:ascii="Arial" w:hAnsi="Arial" w:cs="Arial"/>
                <w:bCs/>
                <w:iCs/>
              </w:rPr>
              <w:t>Престиж</w:t>
            </w:r>
          </w:p>
        </w:tc>
        <w:tc>
          <w:tcPr>
            <w:tcW w:w="1890"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jc w:val="both"/>
              <w:outlineLvl w:val="4"/>
              <w:rPr>
                <w:rFonts w:ascii="Arial" w:hAnsi="Arial" w:cs="Arial"/>
                <w:bCs/>
                <w:iCs/>
              </w:rPr>
            </w:pPr>
            <w:r w:rsidRPr="00605124">
              <w:rPr>
                <w:rFonts w:ascii="Arial" w:hAnsi="Arial" w:cs="Arial"/>
                <w:bCs/>
                <w:iCs/>
              </w:rPr>
              <w:t>26-я линия В.О., д. 15, лит. Б</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22 537,9</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Этюд, в т.ч. а/с</w:t>
            </w:r>
          </w:p>
        </w:tc>
        <w:tc>
          <w:tcPr>
            <w:tcW w:w="1890"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ул.Седова, д.24, кор.3,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23 110,7</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Орбита (кор. 4), в т.ч. а/с</w:t>
            </w:r>
          </w:p>
        </w:tc>
        <w:tc>
          <w:tcPr>
            <w:tcW w:w="1890"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Гжатская ул., д. 22, кор. 4,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46 131,0</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Юбилейный квартал 78А (кор. 2), в т.ч. а/с</w:t>
            </w:r>
          </w:p>
        </w:tc>
        <w:tc>
          <w:tcPr>
            <w:tcW w:w="1890"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Шуваловский пр., д. 37, кор. 1,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66 601,5</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Юбилейный квартал 78А (кор. 5), в т.ч а/с</w:t>
            </w:r>
          </w:p>
        </w:tc>
        <w:tc>
          <w:tcPr>
            <w:tcW w:w="1890" w:type="pct"/>
            <w:tcBorders>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Парашютная ул., д. 52, лит.А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32 644,9</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Орбита (кор. 2), в т.ч. а/с</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Гжатская ул., д. 22, кор. 2,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51 304,1</w:t>
            </w:r>
          </w:p>
        </w:tc>
      </w:tr>
      <w:tr w:rsidR="00BE3CF0" w:rsidRPr="00605124" w:rsidTr="00BE3CF0">
        <w:trPr>
          <w:cantSplit/>
          <w:trHeight w:val="567"/>
        </w:trPr>
        <w:tc>
          <w:tcPr>
            <w:tcW w:w="469" w:type="pct"/>
            <w:vMerge/>
            <w:tcBorders>
              <w:left w:val="single" w:sz="4" w:space="0" w:color="auto"/>
              <w:bottom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Орбита (кор. 3), в т.ч. а/с</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Гжатская ул., д. 22, кор. 1,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45 036,5</w:t>
            </w:r>
          </w:p>
        </w:tc>
      </w:tr>
      <w:tr w:rsidR="00BE3CF0" w:rsidRPr="00605124" w:rsidTr="00BE3CF0">
        <w:trPr>
          <w:cantSplit/>
          <w:trHeight w:val="567"/>
        </w:trPr>
        <w:tc>
          <w:tcPr>
            <w:tcW w:w="4326" w:type="pct"/>
            <w:gridSpan w:val="3"/>
            <w:tcBorders>
              <w:top w:val="single" w:sz="4" w:space="0" w:color="auto"/>
              <w:left w:val="single" w:sz="4" w:space="0" w:color="auto"/>
              <w:bottom w:val="single" w:sz="4" w:space="0" w:color="auto"/>
            </w:tcBorders>
            <w:vAlign w:val="center"/>
          </w:tcPr>
          <w:p w:rsidR="00BE3CF0" w:rsidRPr="00605124" w:rsidRDefault="00BE3CF0" w:rsidP="0060155C">
            <w:pPr>
              <w:jc w:val="both"/>
              <w:outlineLvl w:val="4"/>
              <w:rPr>
                <w:rFonts w:ascii="Arial" w:hAnsi="Arial" w:cs="Arial"/>
                <w:bCs/>
                <w:iCs/>
              </w:rPr>
            </w:pPr>
            <w:r w:rsidRPr="00605124">
              <w:rPr>
                <w:rFonts w:ascii="Arial" w:hAnsi="Arial" w:cs="Arial"/>
                <w:b/>
                <w:bCs/>
                <w:i/>
                <w:iCs/>
              </w:rPr>
              <w:t>Итого</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
                <w:bCs/>
                <w:i/>
                <w:iCs/>
              </w:rPr>
            </w:pPr>
            <w:r w:rsidRPr="00605124">
              <w:rPr>
                <w:rFonts w:ascii="Arial" w:hAnsi="Arial" w:cs="Arial"/>
                <w:b/>
                <w:bCs/>
                <w:i/>
                <w:iCs/>
              </w:rPr>
              <w:t>287 366,6</w:t>
            </w:r>
          </w:p>
        </w:tc>
      </w:tr>
      <w:tr w:rsidR="00BE3CF0" w:rsidRPr="00605124" w:rsidTr="00BE3CF0">
        <w:trPr>
          <w:cantSplit/>
          <w:trHeight w:val="567"/>
        </w:trPr>
        <w:tc>
          <w:tcPr>
            <w:tcW w:w="469" w:type="pct"/>
            <w:vMerge w:val="restart"/>
            <w:tcBorders>
              <w:top w:val="single" w:sz="4" w:space="0" w:color="auto"/>
              <w:left w:val="single" w:sz="4" w:space="0" w:color="auto"/>
              <w:right w:val="single" w:sz="4" w:space="0" w:color="auto"/>
            </w:tcBorders>
            <w:vAlign w:val="center"/>
          </w:tcPr>
          <w:p w:rsidR="00BE3CF0" w:rsidRPr="00605124" w:rsidRDefault="00BE3CF0" w:rsidP="0060155C">
            <w:pPr>
              <w:jc w:val="center"/>
              <w:rPr>
                <w:rFonts w:ascii="Arial" w:hAnsi="Arial" w:cs="Arial"/>
                <w:b/>
                <w:bCs/>
              </w:rPr>
            </w:pPr>
            <w:r w:rsidRPr="00605124">
              <w:rPr>
                <w:rFonts w:ascii="Arial" w:hAnsi="Arial" w:cs="Arial"/>
                <w:b/>
                <w:bCs/>
              </w:rPr>
              <w:t>2013</w:t>
            </w: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Ласточкино гнездо (кор. 3)</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Русановская ул., д.15, кор.1,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22 256,6</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Ласточкино гнездо (кор. 1), в т.ч. а/с</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Русановская ул., д.9,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39 778,1</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 xml:space="preserve">Ласточкино гнездо (кор. 10) </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Русановская ул., д.17, кор. 3,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13 444,2</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Ласточкино гнездо (кор. 6), в т.ч. а/с</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Русановская ул., д.17, кор. 2,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32 449,3</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Ласточкино гнездо (кор. 5)</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Русановская ул., д.19, кор. 2,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18 005,8</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Ласточкино гнездо (кор. 4)</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Русановская ул., д.17, кор. 1,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20 675,4</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Ласточкино гнездо (кор. 2), в т.ч. а/с</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Русановская ул., д.11,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42 922,2</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Летний (кор. 3)</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Пулковское шоссе, д.40, кор. 2,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14 674,1</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 xml:space="preserve">Летний (кор. 2) </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Пулковское шоссе, д.38, кор. 2,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15 258,8</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Летний автостоянки</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Пулковское шоссе, д.38, кор. 8,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12 911,6</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Летний (кор. 1)</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(Пулковское шоссе, д.38, кор. 7,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22 167,4</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Царская столица, корпус 1А, 1Б, 1В, в т.ч. а/с</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Полтавский проезд, д.2,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72 070,4</w:t>
            </w:r>
          </w:p>
        </w:tc>
      </w:tr>
      <w:tr w:rsidR="00BE3CF0" w:rsidRPr="00605124" w:rsidTr="00BE3CF0">
        <w:trPr>
          <w:cantSplit/>
          <w:trHeight w:val="567"/>
        </w:trPr>
        <w:tc>
          <w:tcPr>
            <w:tcW w:w="469" w:type="pct"/>
            <w:vMerge/>
            <w:tcBorders>
              <w:left w:val="single" w:sz="4" w:space="0" w:color="auto"/>
              <w:bottom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Галант (кор. 3)</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Смоленская ул., д.11, кор. 2,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10 902,4</w:t>
            </w:r>
          </w:p>
        </w:tc>
      </w:tr>
      <w:tr w:rsidR="00BE3CF0" w:rsidRPr="00605124" w:rsidTr="00BE3CF0">
        <w:trPr>
          <w:cantSplit/>
          <w:trHeight w:val="567"/>
        </w:trPr>
        <w:tc>
          <w:tcPr>
            <w:tcW w:w="4326" w:type="pct"/>
            <w:gridSpan w:val="3"/>
            <w:tcBorders>
              <w:top w:val="single" w:sz="4" w:space="0" w:color="auto"/>
              <w:left w:val="single" w:sz="4" w:space="0" w:color="auto"/>
              <w:bottom w:val="single" w:sz="4" w:space="0" w:color="auto"/>
            </w:tcBorders>
            <w:vAlign w:val="center"/>
          </w:tcPr>
          <w:p w:rsidR="00BE3CF0" w:rsidRPr="00605124" w:rsidRDefault="00BE3CF0" w:rsidP="0060155C">
            <w:pPr>
              <w:jc w:val="both"/>
              <w:outlineLvl w:val="4"/>
              <w:rPr>
                <w:rFonts w:ascii="Arial" w:hAnsi="Arial" w:cs="Arial"/>
                <w:bCs/>
                <w:iCs/>
              </w:rPr>
            </w:pPr>
            <w:r w:rsidRPr="00605124">
              <w:rPr>
                <w:rFonts w:ascii="Arial" w:hAnsi="Arial" w:cs="Arial"/>
                <w:b/>
                <w:bCs/>
                <w:i/>
                <w:iCs/>
              </w:rPr>
              <w:t>Итого</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
                <w:bCs/>
                <w:i/>
                <w:iCs/>
              </w:rPr>
              <w:t>337 516,3</w:t>
            </w:r>
          </w:p>
        </w:tc>
      </w:tr>
      <w:tr w:rsidR="00BE3CF0" w:rsidRPr="00605124" w:rsidTr="00BE3CF0">
        <w:trPr>
          <w:cantSplit/>
          <w:trHeight w:val="567"/>
        </w:trPr>
        <w:tc>
          <w:tcPr>
            <w:tcW w:w="469" w:type="pct"/>
            <w:vMerge w:val="restart"/>
            <w:tcBorders>
              <w:top w:val="single" w:sz="4" w:space="0" w:color="auto"/>
              <w:left w:val="single" w:sz="4" w:space="0" w:color="auto"/>
              <w:right w:val="single" w:sz="4" w:space="0" w:color="auto"/>
            </w:tcBorders>
            <w:vAlign w:val="center"/>
          </w:tcPr>
          <w:p w:rsidR="00BE3CF0" w:rsidRPr="00605124" w:rsidRDefault="00BE3CF0" w:rsidP="0060155C">
            <w:pPr>
              <w:jc w:val="center"/>
              <w:rPr>
                <w:rFonts w:ascii="Arial" w:hAnsi="Arial" w:cs="Arial"/>
                <w:b/>
                <w:bCs/>
              </w:rPr>
            </w:pPr>
            <w:r w:rsidRPr="00605124">
              <w:rPr>
                <w:rFonts w:ascii="Arial" w:hAnsi="Arial" w:cs="Arial"/>
                <w:b/>
                <w:bCs/>
              </w:rPr>
              <w:t>2014</w:t>
            </w: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Галант нежилые помещения</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Киевская ул., д. 6, кор. 3,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546,5</w:t>
            </w:r>
          </w:p>
        </w:tc>
      </w:tr>
      <w:tr w:rsidR="00BE3CF0" w:rsidRPr="00605124" w:rsidTr="00BE3CF0">
        <w:trPr>
          <w:cantSplit/>
          <w:trHeight w:val="567"/>
        </w:trPr>
        <w:tc>
          <w:tcPr>
            <w:tcW w:w="469" w:type="pct"/>
            <w:vMerge/>
            <w:tcBorders>
              <w:top w:val="single" w:sz="4" w:space="0" w:color="auto"/>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Галант нежилые помещения</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Киевская ул., д. 6, кор. 4,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973,9</w:t>
            </w:r>
          </w:p>
        </w:tc>
      </w:tr>
      <w:tr w:rsidR="00BE3CF0" w:rsidRPr="00605124" w:rsidTr="00BE3CF0">
        <w:trPr>
          <w:cantSplit/>
          <w:trHeight w:val="567"/>
        </w:trPr>
        <w:tc>
          <w:tcPr>
            <w:tcW w:w="469" w:type="pct"/>
            <w:vMerge/>
            <w:tcBorders>
              <w:top w:val="single" w:sz="4" w:space="0" w:color="auto"/>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Галант нежилые помещения</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Смоленская ул., д.11, кор. 1,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492,4</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 xml:space="preserve">Галант автостоянки </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Смоленская ул., д.9, кор. 2,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616,8</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Галант (кор. 4)</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Киевская ул., д.6, кор. 2,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11 989,2</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Галант (кор. 2)</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Смоленская ул., д.13,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10 424,6</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Галант (кор. 1)</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Смоленская ул., д.9, кор. 3,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9 799,1</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Ласточкино гнездо (кор. 12)</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Русановская ул., дом 19, кор. 4,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13 586,0</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Ласточкино гнездо (кор. 11)</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Русановская ул., дом 17, кор. 4,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13 774,2</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Ласточкино гнездо (кор. 9), в т.ч. а/с</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Русановская ул., дом 19, кор. 5,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24 761,3</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Ласточкино гнездо (кор. 7), в т.ч. а/с</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Русановская ул., дом 19, кор. 2,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31 250,3</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Молодёжный</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Пр. Обуховской обороны, дом 110, корпус 1, литера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106 197,6</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Галант автостоянка</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Смоленская ул., д.9, лит. Ж</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3 407,2</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Галант Бизнес-Центр</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Смоленская ул., дом 9, лит. Ж</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1 225,4</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Училищный дом</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Рыбацкий просп., дом 18,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3 657,6</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Царская столица, автостоянки (корп. 3А) автостоянка</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Военная улица, д. 6, литера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10 171,1</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Царская столица автостоянки (корп. 2А)</w:t>
            </w:r>
          </w:p>
          <w:p w:rsidR="00BE3CF0" w:rsidRPr="00605124" w:rsidRDefault="00BE3CF0" w:rsidP="0060155C">
            <w:pPr>
              <w:outlineLvl w:val="4"/>
              <w:rPr>
                <w:rFonts w:ascii="Arial" w:hAnsi="Arial" w:cs="Arial"/>
                <w:bCs/>
                <w:iCs/>
              </w:rPr>
            </w:pPr>
            <w:r w:rsidRPr="00605124">
              <w:rPr>
                <w:rFonts w:ascii="Arial" w:hAnsi="Arial" w:cs="Arial"/>
                <w:bCs/>
                <w:iCs/>
              </w:rPr>
              <w:t>автостоянка</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Военная улица, д. 4, литера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10 167,7</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Царская столица (корп. 3В)</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Кременчугская улица, д. 11, корп. 1,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22 524,3</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Царская столица (корп. 3Б)</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Кременчугская улица, д. 11, корп. 2,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22 508,6</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Царская столица</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Кременчугская улица, д. 9, корп. 1,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31 165,0</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Царская столица (корп. 2Б)</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Кременчугская улица, д. 9, корп. 2,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21 761,7</w:t>
            </w:r>
          </w:p>
        </w:tc>
      </w:tr>
      <w:tr w:rsidR="00BE3CF0" w:rsidRPr="00605124" w:rsidTr="00BE3CF0">
        <w:trPr>
          <w:cantSplit/>
          <w:trHeight w:val="567"/>
        </w:trPr>
        <w:tc>
          <w:tcPr>
            <w:tcW w:w="469" w:type="pct"/>
            <w:vMerge/>
            <w:tcBorders>
              <w:left w:val="single" w:sz="4" w:space="0" w:color="auto"/>
              <w:bottom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 xml:space="preserve">Речной </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Рыбацкий просп., дом 18, корп. 2,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104 791,5</w:t>
            </w:r>
          </w:p>
        </w:tc>
      </w:tr>
      <w:tr w:rsidR="00BE3CF0" w:rsidRPr="00605124" w:rsidTr="00BE3CF0">
        <w:trPr>
          <w:cantSplit/>
          <w:trHeight w:val="567"/>
        </w:trPr>
        <w:tc>
          <w:tcPr>
            <w:tcW w:w="4326" w:type="pct"/>
            <w:gridSpan w:val="3"/>
            <w:tcBorders>
              <w:top w:val="single" w:sz="4" w:space="0" w:color="auto"/>
              <w:left w:val="single" w:sz="4" w:space="0" w:color="auto"/>
              <w:bottom w:val="single" w:sz="4" w:space="0" w:color="auto"/>
            </w:tcBorders>
            <w:vAlign w:val="center"/>
          </w:tcPr>
          <w:p w:rsidR="00BE3CF0" w:rsidRPr="00605124" w:rsidRDefault="00BE3CF0" w:rsidP="0060155C">
            <w:pPr>
              <w:jc w:val="both"/>
              <w:outlineLvl w:val="4"/>
              <w:rPr>
                <w:rFonts w:ascii="Arial" w:hAnsi="Arial" w:cs="Arial"/>
                <w:bCs/>
                <w:iCs/>
              </w:rPr>
            </w:pPr>
            <w:r w:rsidRPr="00605124">
              <w:rPr>
                <w:rFonts w:ascii="Arial" w:hAnsi="Arial" w:cs="Arial"/>
                <w:b/>
                <w:bCs/>
                <w:i/>
                <w:iCs/>
              </w:rPr>
              <w:t>Итого</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
                <w:bCs/>
                <w:i/>
                <w:iCs/>
              </w:rPr>
              <w:t>455 792,0</w:t>
            </w:r>
          </w:p>
        </w:tc>
      </w:tr>
      <w:tr w:rsidR="00BE3CF0" w:rsidRPr="00605124" w:rsidTr="00BE3CF0">
        <w:trPr>
          <w:cantSplit/>
          <w:trHeight w:val="567"/>
        </w:trPr>
        <w:tc>
          <w:tcPr>
            <w:tcW w:w="469" w:type="pct"/>
            <w:vMerge w:val="restart"/>
            <w:tcBorders>
              <w:top w:val="single" w:sz="4" w:space="0" w:color="auto"/>
              <w:left w:val="single" w:sz="4" w:space="0" w:color="auto"/>
              <w:right w:val="single" w:sz="4" w:space="0" w:color="auto"/>
            </w:tcBorders>
            <w:shd w:val="clear" w:color="auto" w:fill="auto"/>
            <w:noWrap/>
            <w:vAlign w:val="center"/>
          </w:tcPr>
          <w:p w:rsidR="00BE3CF0" w:rsidRPr="00605124" w:rsidRDefault="00BE3CF0" w:rsidP="0060155C">
            <w:pPr>
              <w:jc w:val="center"/>
              <w:rPr>
                <w:rFonts w:ascii="Arial" w:hAnsi="Arial" w:cs="Arial"/>
                <w:b/>
                <w:bCs/>
              </w:rPr>
            </w:pPr>
            <w:r w:rsidRPr="00605124">
              <w:rPr>
                <w:rFonts w:ascii="Arial" w:hAnsi="Arial" w:cs="Arial"/>
                <w:b/>
                <w:bCs/>
              </w:rPr>
              <w:t>2015</w:t>
            </w: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jc w:val="both"/>
              <w:outlineLvl w:val="4"/>
              <w:rPr>
                <w:rFonts w:ascii="Arial" w:hAnsi="Arial" w:cs="Arial"/>
                <w:bCs/>
                <w:iCs/>
              </w:rPr>
            </w:pPr>
            <w:r w:rsidRPr="00605124">
              <w:rPr>
                <w:rFonts w:ascii="Arial" w:hAnsi="Arial" w:cs="Arial"/>
                <w:bCs/>
                <w:iCs/>
              </w:rPr>
              <w:t>Ласточкино Гнездо, автостоянки</w:t>
            </w:r>
          </w:p>
        </w:tc>
        <w:tc>
          <w:tcPr>
            <w:tcW w:w="1890"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jc w:val="both"/>
              <w:outlineLvl w:val="4"/>
              <w:rPr>
                <w:rFonts w:ascii="Arial" w:hAnsi="Arial" w:cs="Arial"/>
                <w:bCs/>
                <w:iCs/>
              </w:rPr>
            </w:pPr>
            <w:r w:rsidRPr="00605124">
              <w:rPr>
                <w:rFonts w:ascii="Arial" w:hAnsi="Arial" w:cs="Arial"/>
                <w:bCs/>
                <w:iCs/>
              </w:rPr>
              <w:t>Русановская ул., дом 19, кор. 3, лит. Б</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14 749,3</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Ласточкино Гнездо (корп. 8)</w:t>
            </w:r>
          </w:p>
        </w:tc>
        <w:tc>
          <w:tcPr>
            <w:tcW w:w="1890"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Русановская ул., дом 19, кор. 3,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25 394,5</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Царская столица, автостоянки (корп. 4А)</w:t>
            </w:r>
          </w:p>
        </w:tc>
        <w:tc>
          <w:tcPr>
            <w:tcW w:w="1890"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Военная ул., дом 8,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10 253,4</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Царская столица (корп. 4Б)</w:t>
            </w:r>
          </w:p>
        </w:tc>
        <w:tc>
          <w:tcPr>
            <w:tcW w:w="1890"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Кременчугская ул., дом 13, кор. 2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22 115,7</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Царская столица (корп. 4В)</w:t>
            </w:r>
          </w:p>
        </w:tc>
        <w:tc>
          <w:tcPr>
            <w:tcW w:w="1890" w:type="pct"/>
            <w:tcBorders>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Кременчугская ул., дом 13, кор. 1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22 133,4</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Самоцветы (корп. 1)</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ул. Уральская, д. 4</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69 873,9</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Самоцветы (корп. 2)</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наб. реки Смоленки, д.3, к.1, лит.А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67 943,3</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Царская столица (корп. 7Г) офисное здание</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Кременчугская ул., дом 19, корп.1,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10 959,7</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Царская столица (корп. 7В) автостоянка</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Военная ул., дом 14,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11 378,6</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Царская столица (корп. 7А) автостоянка</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Военная ул., дом 14,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10 188,7</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Царская столица (корп. 6В)</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Кременчугская ул., дом 17, корп.2,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22 764,3</w:t>
            </w:r>
          </w:p>
        </w:tc>
      </w:tr>
      <w:tr w:rsidR="00BE3CF0" w:rsidRPr="00605124" w:rsidTr="00BE3CF0">
        <w:trPr>
          <w:cantSplit/>
          <w:trHeight w:val="567"/>
        </w:trPr>
        <w:tc>
          <w:tcPr>
            <w:tcW w:w="469" w:type="pct"/>
            <w:vMerge/>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Царская столица (корп. 6Б)</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Кременчугская ул., дом 17, корп.3,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22 678,4</w:t>
            </w:r>
          </w:p>
        </w:tc>
      </w:tr>
      <w:tr w:rsidR="00BE3CF0" w:rsidRPr="00605124" w:rsidTr="00BE3CF0">
        <w:trPr>
          <w:cantSplit/>
          <w:trHeight w:val="567"/>
        </w:trPr>
        <w:tc>
          <w:tcPr>
            <w:tcW w:w="469" w:type="pct"/>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Царская столица (корп. 6А) автостоянка</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Военная ул., дом 12,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10 188,0</w:t>
            </w:r>
          </w:p>
        </w:tc>
      </w:tr>
      <w:tr w:rsidR="00BE3CF0" w:rsidRPr="00605124" w:rsidTr="00BE3CF0">
        <w:trPr>
          <w:cantSplit/>
          <w:trHeight w:val="567"/>
        </w:trPr>
        <w:tc>
          <w:tcPr>
            <w:tcW w:w="469" w:type="pct"/>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Царская столица (корп. 5А) автостоянка</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Военная ул., дом 10,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9 034,2</w:t>
            </w:r>
          </w:p>
        </w:tc>
      </w:tr>
      <w:tr w:rsidR="00BE3CF0" w:rsidRPr="00605124" w:rsidTr="00BE3CF0">
        <w:trPr>
          <w:cantSplit/>
          <w:trHeight w:val="567"/>
        </w:trPr>
        <w:tc>
          <w:tcPr>
            <w:tcW w:w="469" w:type="pct"/>
            <w:tcBorders>
              <w:left w:val="single" w:sz="4" w:space="0" w:color="auto"/>
              <w:right w:val="single" w:sz="4" w:space="0" w:color="auto"/>
            </w:tcBorders>
            <w:vAlign w:val="center"/>
          </w:tcPr>
          <w:p w:rsidR="00BE3CF0" w:rsidRPr="00605124" w:rsidRDefault="00BE3CF0" w:rsidP="0060155C">
            <w:pPr>
              <w:jc w:val="center"/>
              <w:rPr>
                <w:rFonts w:ascii="Arial" w:hAnsi="Arial" w:cs="Arial"/>
                <w:b/>
                <w:bCs/>
              </w:rPr>
            </w:pPr>
          </w:p>
        </w:tc>
        <w:tc>
          <w:tcPr>
            <w:tcW w:w="1966" w:type="pct"/>
            <w:tcBorders>
              <w:top w:val="single" w:sz="4" w:space="0" w:color="auto"/>
              <w:left w:val="single" w:sz="4" w:space="0" w:color="auto"/>
              <w:bottom w:val="single" w:sz="4" w:space="0" w:color="auto"/>
              <w:right w:val="single" w:sz="4" w:space="0" w:color="auto"/>
            </w:tcBorders>
            <w:shd w:val="clear" w:color="auto" w:fill="auto"/>
            <w:vAlign w:val="center"/>
          </w:tcPr>
          <w:p w:rsidR="00BE3CF0" w:rsidRPr="00605124" w:rsidRDefault="00BE3CF0" w:rsidP="0060155C">
            <w:pPr>
              <w:outlineLvl w:val="4"/>
              <w:rPr>
                <w:rFonts w:ascii="Arial" w:hAnsi="Arial" w:cs="Arial"/>
                <w:bCs/>
                <w:iCs/>
              </w:rPr>
            </w:pPr>
            <w:r w:rsidRPr="00605124">
              <w:rPr>
                <w:rFonts w:ascii="Arial" w:hAnsi="Arial" w:cs="Arial"/>
                <w:bCs/>
                <w:iCs/>
              </w:rPr>
              <w:t>Царская столица (корп. 7Б)</w:t>
            </w:r>
          </w:p>
        </w:tc>
        <w:tc>
          <w:tcPr>
            <w:tcW w:w="1890" w:type="pct"/>
            <w:tcBorders>
              <w:top w:val="single" w:sz="4" w:space="0" w:color="auto"/>
              <w:bottom w:val="single" w:sz="4" w:space="0" w:color="auto"/>
            </w:tcBorders>
            <w:vAlign w:val="center"/>
          </w:tcPr>
          <w:p w:rsidR="00BE3CF0" w:rsidRPr="00605124" w:rsidRDefault="00BE3CF0" w:rsidP="0060155C">
            <w:pPr>
              <w:outlineLvl w:val="4"/>
              <w:rPr>
                <w:rFonts w:ascii="Arial" w:hAnsi="Arial" w:cs="Arial"/>
                <w:bCs/>
                <w:iCs/>
              </w:rPr>
            </w:pPr>
            <w:r w:rsidRPr="00605124">
              <w:rPr>
                <w:rFonts w:ascii="Arial" w:hAnsi="Arial" w:cs="Arial"/>
                <w:bCs/>
                <w:iCs/>
              </w:rPr>
              <w:t>Кременчугская ул., дом 19, кор. 3, лит. А</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Cs/>
                <w:iCs/>
              </w:rPr>
              <w:t>21 976,3</w:t>
            </w:r>
          </w:p>
        </w:tc>
      </w:tr>
      <w:tr w:rsidR="00BE3CF0" w:rsidRPr="00605124" w:rsidTr="00BE3CF0">
        <w:trPr>
          <w:cantSplit/>
          <w:trHeight w:val="567"/>
        </w:trPr>
        <w:tc>
          <w:tcPr>
            <w:tcW w:w="4326" w:type="pct"/>
            <w:gridSpan w:val="3"/>
            <w:tcBorders>
              <w:top w:val="single" w:sz="4" w:space="0" w:color="auto"/>
              <w:left w:val="single" w:sz="4" w:space="0" w:color="auto"/>
              <w:bottom w:val="single" w:sz="4" w:space="0" w:color="auto"/>
            </w:tcBorders>
            <w:vAlign w:val="center"/>
          </w:tcPr>
          <w:p w:rsidR="00BE3CF0" w:rsidRPr="00605124" w:rsidRDefault="00BE3CF0" w:rsidP="0060155C">
            <w:pPr>
              <w:jc w:val="both"/>
              <w:outlineLvl w:val="4"/>
              <w:rPr>
                <w:rFonts w:ascii="Arial" w:hAnsi="Arial" w:cs="Arial"/>
                <w:bCs/>
                <w:iCs/>
              </w:rPr>
            </w:pPr>
            <w:r w:rsidRPr="00605124">
              <w:rPr>
                <w:rFonts w:ascii="Arial" w:hAnsi="Arial" w:cs="Arial"/>
                <w:b/>
                <w:bCs/>
                <w:i/>
                <w:iCs/>
              </w:rPr>
              <w:t>Итого</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3CF0" w:rsidRPr="00605124" w:rsidRDefault="00BE3CF0" w:rsidP="0060155C">
            <w:pPr>
              <w:jc w:val="right"/>
              <w:outlineLvl w:val="4"/>
              <w:rPr>
                <w:rFonts w:ascii="Arial" w:hAnsi="Arial" w:cs="Arial"/>
                <w:bCs/>
                <w:iCs/>
              </w:rPr>
            </w:pPr>
            <w:r w:rsidRPr="00605124">
              <w:rPr>
                <w:rFonts w:ascii="Arial" w:hAnsi="Arial" w:cs="Arial"/>
                <w:b/>
                <w:bCs/>
                <w:i/>
                <w:iCs/>
              </w:rPr>
              <w:t>351 631,7</w:t>
            </w:r>
          </w:p>
        </w:tc>
      </w:tr>
    </w:tbl>
    <w:p w:rsidR="00BE3CF0" w:rsidRPr="00605124" w:rsidRDefault="00BE3CF0" w:rsidP="00BE3CF0">
      <w:pPr>
        <w:jc w:val="both"/>
        <w:rPr>
          <w:rFonts w:ascii="Arial" w:hAnsi="Arial" w:cs="Arial"/>
          <w:bCs/>
          <w:iCs/>
        </w:rPr>
      </w:pPr>
      <w:r w:rsidRPr="00605124">
        <w:rPr>
          <w:rFonts w:ascii="Arial" w:hAnsi="Arial" w:cs="Arial"/>
          <w:bCs/>
          <w:iCs/>
        </w:rPr>
        <w:t>*Согласно разрешению на ввод объекта в эксплуатацию</w:t>
      </w:r>
    </w:p>
    <w:p w:rsidR="00BE3CF0" w:rsidRPr="00605124" w:rsidRDefault="00BE3CF0" w:rsidP="00BE3CF0">
      <w:pPr>
        <w:jc w:val="both"/>
        <w:rPr>
          <w:bCs/>
          <w:iCs/>
        </w:rPr>
      </w:pPr>
    </w:p>
    <w:p w:rsidR="00BE3CF0" w:rsidRDefault="00BE3CF0" w:rsidP="00A859AF">
      <w:pPr>
        <w:pStyle w:val="ConsPlusNormal"/>
        <w:ind w:firstLine="540"/>
        <w:jc w:val="both"/>
        <w:rPr>
          <w:rFonts w:ascii="Times New Roman" w:hAnsi="Times New Roman" w:cs="Times New Roman"/>
        </w:rPr>
      </w:pPr>
      <w:r w:rsidRPr="00513E75">
        <w:rPr>
          <w:rFonts w:ascii="Times New Roman" w:hAnsi="Times New Roman" w:cs="Times New Roman"/>
        </w:rPr>
        <w:t>Указываются цели создания эмитента</w:t>
      </w:r>
      <w:r>
        <w:rPr>
          <w:rFonts w:ascii="Times New Roman" w:hAnsi="Times New Roman" w:cs="Times New Roman"/>
        </w:rPr>
        <w:t>:</w:t>
      </w:r>
    </w:p>
    <w:p w:rsidR="00A06BCF" w:rsidRDefault="00A06BCF" w:rsidP="00A859AF">
      <w:pPr>
        <w:pStyle w:val="ConsPlusNormal"/>
        <w:ind w:firstLine="540"/>
        <w:jc w:val="both"/>
        <w:rPr>
          <w:rStyle w:val="Subst"/>
          <w:rFonts w:eastAsiaTheme="minorEastAsia"/>
        </w:rPr>
      </w:pPr>
    </w:p>
    <w:p w:rsidR="00BE3CF0" w:rsidRDefault="00BE3CF0" w:rsidP="00A859AF">
      <w:pPr>
        <w:pStyle w:val="ConsPlusNormal"/>
        <w:ind w:firstLine="540"/>
        <w:jc w:val="both"/>
        <w:rPr>
          <w:rStyle w:val="Subst"/>
          <w:rFonts w:eastAsiaTheme="minorEastAsia"/>
        </w:rPr>
      </w:pPr>
      <w:r w:rsidRPr="00AA6A70">
        <w:rPr>
          <w:rStyle w:val="Subst"/>
          <w:rFonts w:eastAsiaTheme="minorEastAsia"/>
        </w:rPr>
        <w:t xml:space="preserve">В соответствии с </w:t>
      </w:r>
      <w:r>
        <w:rPr>
          <w:rStyle w:val="Subst"/>
          <w:rFonts w:eastAsiaTheme="minorEastAsia"/>
        </w:rPr>
        <w:t xml:space="preserve">п.3.1 </w:t>
      </w:r>
      <w:r w:rsidRPr="00AA6A70">
        <w:rPr>
          <w:rStyle w:val="Subst"/>
          <w:rFonts w:eastAsiaTheme="minorEastAsia"/>
        </w:rPr>
        <w:t>Устав</w:t>
      </w:r>
      <w:r>
        <w:rPr>
          <w:rStyle w:val="Subst"/>
          <w:rFonts w:eastAsiaTheme="minorEastAsia"/>
        </w:rPr>
        <w:t>а</w:t>
      </w:r>
      <w:r w:rsidRPr="00AA6A70">
        <w:rPr>
          <w:rStyle w:val="Subst"/>
          <w:rFonts w:eastAsiaTheme="minorEastAsia"/>
        </w:rPr>
        <w:t xml:space="preserve"> </w:t>
      </w:r>
      <w:r>
        <w:rPr>
          <w:rStyle w:val="Subst"/>
          <w:rFonts w:eastAsiaTheme="minorEastAsia"/>
        </w:rPr>
        <w:t xml:space="preserve">основной </w:t>
      </w:r>
      <w:r w:rsidRPr="00AA6A70">
        <w:rPr>
          <w:rStyle w:val="Subst"/>
          <w:rFonts w:eastAsiaTheme="minorEastAsia"/>
        </w:rPr>
        <w:t xml:space="preserve">целью создания Эмитента является осуществление хозяйственной деятельности, направленной на удовлетворение общественных потребностей и получение прибыли. </w:t>
      </w:r>
    </w:p>
    <w:p w:rsidR="00BE3CF0" w:rsidRPr="00AA6A70" w:rsidRDefault="00BE3CF0" w:rsidP="00A859AF">
      <w:pPr>
        <w:pStyle w:val="ConsPlusNormal"/>
        <w:ind w:firstLine="540"/>
        <w:jc w:val="both"/>
        <w:rPr>
          <w:rStyle w:val="Subst"/>
          <w:rFonts w:eastAsiaTheme="minorEastAsia"/>
        </w:rPr>
      </w:pPr>
      <w:r w:rsidRPr="00AA6A70">
        <w:rPr>
          <w:rStyle w:val="Subst"/>
          <w:rFonts w:eastAsiaTheme="minorEastAsia"/>
        </w:rPr>
        <w:t>Для реализации этих целей в соответствии с</w:t>
      </w:r>
      <w:r>
        <w:rPr>
          <w:rStyle w:val="Subst"/>
          <w:rFonts w:eastAsiaTheme="minorEastAsia"/>
        </w:rPr>
        <w:t xml:space="preserve"> п.3.2</w:t>
      </w:r>
      <w:r w:rsidRPr="00AA6A70">
        <w:rPr>
          <w:rStyle w:val="Subst"/>
          <w:rFonts w:eastAsiaTheme="minorEastAsia"/>
        </w:rPr>
        <w:t xml:space="preserve"> Устав</w:t>
      </w:r>
      <w:r>
        <w:rPr>
          <w:rStyle w:val="Subst"/>
          <w:rFonts w:eastAsiaTheme="minorEastAsia"/>
        </w:rPr>
        <w:t>а</w:t>
      </w:r>
      <w:r w:rsidRPr="00AA6A70">
        <w:rPr>
          <w:rStyle w:val="Subst"/>
          <w:rFonts w:eastAsiaTheme="minorEastAsia"/>
        </w:rPr>
        <w:t xml:space="preserve"> Эмитент вправе осуществлять следующие виды деятельности:</w:t>
      </w:r>
    </w:p>
    <w:p w:rsidR="00BE3CF0" w:rsidRPr="00AA6A70" w:rsidRDefault="00BE3CF0" w:rsidP="00867D7F">
      <w:pPr>
        <w:pStyle w:val="ConsPlusNormal"/>
        <w:numPr>
          <w:ilvl w:val="0"/>
          <w:numId w:val="28"/>
        </w:numPr>
        <w:ind w:left="0" w:firstLine="567"/>
        <w:jc w:val="both"/>
        <w:rPr>
          <w:rStyle w:val="Subst"/>
          <w:rFonts w:eastAsiaTheme="minorEastAsia"/>
        </w:rPr>
      </w:pPr>
      <w:r w:rsidRPr="00AA6A70">
        <w:rPr>
          <w:rStyle w:val="Subst"/>
          <w:rFonts w:eastAsiaTheme="minorEastAsia"/>
        </w:rPr>
        <w:t>строительство зданий и сооружений, реконструкция и реставрация зданий и сооружений;</w:t>
      </w:r>
    </w:p>
    <w:p w:rsidR="00BE3CF0" w:rsidRPr="00AA6A70" w:rsidRDefault="00BE3CF0" w:rsidP="00867D7F">
      <w:pPr>
        <w:pStyle w:val="ConsPlusNormal"/>
        <w:numPr>
          <w:ilvl w:val="0"/>
          <w:numId w:val="28"/>
        </w:numPr>
        <w:ind w:left="0" w:firstLine="567"/>
        <w:jc w:val="both"/>
        <w:rPr>
          <w:rStyle w:val="Subst"/>
          <w:rFonts w:eastAsiaTheme="minorEastAsia"/>
        </w:rPr>
      </w:pPr>
      <w:r w:rsidRPr="00AA6A70">
        <w:rPr>
          <w:rStyle w:val="Subst"/>
          <w:rFonts w:eastAsiaTheme="minorEastAsia"/>
        </w:rPr>
        <w:t xml:space="preserve"> проектирование зданий и сооружений;</w:t>
      </w:r>
    </w:p>
    <w:p w:rsidR="00BE3CF0" w:rsidRPr="00AA6A70" w:rsidRDefault="00BE3CF0" w:rsidP="00867D7F">
      <w:pPr>
        <w:pStyle w:val="ConsPlusNormal"/>
        <w:numPr>
          <w:ilvl w:val="0"/>
          <w:numId w:val="28"/>
        </w:numPr>
        <w:ind w:left="0" w:firstLine="567"/>
        <w:jc w:val="both"/>
        <w:rPr>
          <w:rStyle w:val="Subst"/>
          <w:rFonts w:eastAsiaTheme="minorEastAsia"/>
        </w:rPr>
      </w:pPr>
      <w:r w:rsidRPr="00AA6A70">
        <w:rPr>
          <w:rStyle w:val="Subst"/>
          <w:rFonts w:eastAsiaTheme="minorEastAsia"/>
        </w:rPr>
        <w:t xml:space="preserve"> выполнение функций Заказчика;</w:t>
      </w:r>
    </w:p>
    <w:p w:rsidR="00BE3CF0" w:rsidRPr="00AA6A70" w:rsidRDefault="00BE3CF0" w:rsidP="00867D7F">
      <w:pPr>
        <w:pStyle w:val="ConsPlusNormal"/>
        <w:numPr>
          <w:ilvl w:val="0"/>
          <w:numId w:val="28"/>
        </w:numPr>
        <w:ind w:left="0" w:firstLine="567"/>
        <w:jc w:val="both"/>
        <w:rPr>
          <w:rStyle w:val="Subst"/>
          <w:rFonts w:eastAsiaTheme="minorEastAsia"/>
        </w:rPr>
      </w:pPr>
      <w:r w:rsidRPr="00AA6A70">
        <w:rPr>
          <w:rStyle w:val="Subst"/>
          <w:rFonts w:eastAsiaTheme="minorEastAsia"/>
        </w:rPr>
        <w:t xml:space="preserve"> реализация инвестиционно-строительных проектов;</w:t>
      </w:r>
    </w:p>
    <w:p w:rsidR="00BE3CF0" w:rsidRPr="00AA6A70" w:rsidRDefault="00BE3CF0" w:rsidP="00867D7F">
      <w:pPr>
        <w:pStyle w:val="ConsPlusNormal"/>
        <w:numPr>
          <w:ilvl w:val="0"/>
          <w:numId w:val="28"/>
        </w:numPr>
        <w:ind w:left="0" w:firstLine="567"/>
        <w:jc w:val="both"/>
        <w:rPr>
          <w:rStyle w:val="Subst"/>
          <w:rFonts w:eastAsiaTheme="minorEastAsia"/>
        </w:rPr>
      </w:pPr>
      <w:r w:rsidRPr="00AA6A70">
        <w:rPr>
          <w:rStyle w:val="Subst"/>
          <w:rFonts w:eastAsiaTheme="minorEastAsia"/>
        </w:rPr>
        <w:t xml:space="preserve"> научно-исследовательские и опытно-конструкторские работы, проведение научных исследований в области строительства;</w:t>
      </w:r>
    </w:p>
    <w:p w:rsidR="00BE3CF0" w:rsidRPr="00AA6A70" w:rsidRDefault="00BE3CF0" w:rsidP="00867D7F">
      <w:pPr>
        <w:pStyle w:val="ConsPlusNormal"/>
        <w:numPr>
          <w:ilvl w:val="0"/>
          <w:numId w:val="28"/>
        </w:numPr>
        <w:ind w:left="0" w:firstLine="567"/>
        <w:jc w:val="both"/>
        <w:rPr>
          <w:rStyle w:val="Subst"/>
          <w:rFonts w:eastAsiaTheme="minorEastAsia"/>
        </w:rPr>
      </w:pPr>
      <w:r w:rsidRPr="00AA6A70">
        <w:rPr>
          <w:rStyle w:val="Subst"/>
          <w:rFonts w:eastAsiaTheme="minorEastAsia"/>
        </w:rPr>
        <w:t xml:space="preserve"> операции с недвижимостью (включая реализацию недвижимости посредством заключения предварительных и основных договоров купли-продажи и договоров долевого участия в строительстве), риэлтерская деятельность;</w:t>
      </w:r>
    </w:p>
    <w:p w:rsidR="00BE3CF0" w:rsidRPr="00AA6A70" w:rsidRDefault="00BE3CF0" w:rsidP="00867D7F">
      <w:pPr>
        <w:pStyle w:val="ConsPlusNormal"/>
        <w:numPr>
          <w:ilvl w:val="0"/>
          <w:numId w:val="28"/>
        </w:numPr>
        <w:ind w:left="0" w:firstLine="567"/>
        <w:jc w:val="both"/>
        <w:rPr>
          <w:rStyle w:val="Subst"/>
          <w:rFonts w:eastAsiaTheme="minorEastAsia"/>
        </w:rPr>
      </w:pPr>
      <w:r w:rsidRPr="00AA6A70">
        <w:rPr>
          <w:rStyle w:val="Subst"/>
          <w:rFonts w:eastAsiaTheme="minorEastAsia"/>
        </w:rPr>
        <w:t xml:space="preserve"> производство отдельных видов строительных материалов, конструкций, изделий;</w:t>
      </w:r>
    </w:p>
    <w:p w:rsidR="00BE3CF0" w:rsidRPr="00AA6A70" w:rsidRDefault="00BE3CF0" w:rsidP="00867D7F">
      <w:pPr>
        <w:pStyle w:val="ConsPlusNormal"/>
        <w:numPr>
          <w:ilvl w:val="0"/>
          <w:numId w:val="28"/>
        </w:numPr>
        <w:ind w:left="0" w:firstLine="567"/>
        <w:jc w:val="both"/>
        <w:rPr>
          <w:rStyle w:val="Subst"/>
          <w:rFonts w:eastAsiaTheme="minorEastAsia"/>
        </w:rPr>
      </w:pPr>
      <w:r w:rsidRPr="00AA6A70">
        <w:rPr>
          <w:rStyle w:val="Subst"/>
          <w:rFonts w:eastAsiaTheme="minorEastAsia"/>
        </w:rPr>
        <w:t xml:space="preserve"> эксплуатация и техническое обслуживание жилых и нежилых зданий и сооружений;</w:t>
      </w:r>
    </w:p>
    <w:p w:rsidR="00BE3CF0" w:rsidRPr="00AA6A70" w:rsidRDefault="00BE3CF0" w:rsidP="00867D7F">
      <w:pPr>
        <w:pStyle w:val="ConsPlusNormal"/>
        <w:numPr>
          <w:ilvl w:val="0"/>
          <w:numId w:val="28"/>
        </w:numPr>
        <w:ind w:left="0" w:firstLine="567"/>
        <w:jc w:val="both"/>
        <w:rPr>
          <w:rStyle w:val="Subst"/>
          <w:rFonts w:eastAsiaTheme="minorEastAsia"/>
        </w:rPr>
      </w:pPr>
      <w:r w:rsidRPr="00AA6A70">
        <w:rPr>
          <w:rStyle w:val="Subst"/>
          <w:rFonts w:eastAsiaTheme="minorEastAsia"/>
        </w:rPr>
        <w:t xml:space="preserve"> маркетинговые исследования рынка недвижимости;</w:t>
      </w:r>
    </w:p>
    <w:p w:rsidR="00BE3CF0" w:rsidRPr="00AA6A70" w:rsidRDefault="00BE3CF0" w:rsidP="00867D7F">
      <w:pPr>
        <w:pStyle w:val="ConsPlusNormal"/>
        <w:numPr>
          <w:ilvl w:val="0"/>
          <w:numId w:val="28"/>
        </w:numPr>
        <w:ind w:left="0" w:firstLine="567"/>
        <w:jc w:val="both"/>
        <w:rPr>
          <w:rStyle w:val="Subst"/>
          <w:rFonts w:eastAsiaTheme="minorEastAsia"/>
        </w:rPr>
      </w:pPr>
      <w:r w:rsidRPr="00AA6A70">
        <w:rPr>
          <w:rStyle w:val="Subst"/>
          <w:rFonts w:eastAsiaTheme="minorEastAsia"/>
        </w:rPr>
        <w:t xml:space="preserve"> проектирование и эксплуатация подъемных сооружений;</w:t>
      </w:r>
    </w:p>
    <w:p w:rsidR="00BE3CF0" w:rsidRPr="00AA6A70" w:rsidRDefault="00BE3CF0" w:rsidP="00867D7F">
      <w:pPr>
        <w:pStyle w:val="ConsPlusNormal"/>
        <w:numPr>
          <w:ilvl w:val="0"/>
          <w:numId w:val="28"/>
        </w:numPr>
        <w:ind w:left="0" w:firstLine="567"/>
        <w:jc w:val="both"/>
        <w:rPr>
          <w:rStyle w:val="Subst"/>
          <w:rFonts w:eastAsiaTheme="minorEastAsia"/>
        </w:rPr>
      </w:pPr>
      <w:r w:rsidRPr="00AA6A70">
        <w:rPr>
          <w:rStyle w:val="Subst"/>
          <w:rFonts w:eastAsiaTheme="minorEastAsia"/>
        </w:rPr>
        <w:t xml:space="preserve"> перевозка грузов;</w:t>
      </w:r>
    </w:p>
    <w:p w:rsidR="00BE3CF0" w:rsidRPr="00AA6A70" w:rsidRDefault="00BE3CF0" w:rsidP="00867D7F">
      <w:pPr>
        <w:pStyle w:val="ConsPlusNormal"/>
        <w:numPr>
          <w:ilvl w:val="0"/>
          <w:numId w:val="28"/>
        </w:numPr>
        <w:ind w:left="0" w:firstLine="567"/>
        <w:jc w:val="both"/>
        <w:rPr>
          <w:rStyle w:val="Subst"/>
          <w:rFonts w:eastAsiaTheme="minorEastAsia"/>
        </w:rPr>
      </w:pPr>
      <w:r w:rsidRPr="00AA6A70">
        <w:rPr>
          <w:rStyle w:val="Subst"/>
          <w:rFonts w:eastAsiaTheme="minorEastAsia"/>
        </w:rPr>
        <w:t xml:space="preserve"> рекламная деятельность;</w:t>
      </w:r>
    </w:p>
    <w:p w:rsidR="00BE3CF0" w:rsidRPr="00AA6A70" w:rsidRDefault="00BE3CF0" w:rsidP="00867D7F">
      <w:pPr>
        <w:pStyle w:val="ConsPlusNormal"/>
        <w:numPr>
          <w:ilvl w:val="0"/>
          <w:numId w:val="28"/>
        </w:numPr>
        <w:ind w:left="0" w:firstLine="567"/>
        <w:jc w:val="both"/>
        <w:rPr>
          <w:rStyle w:val="Subst"/>
          <w:rFonts w:eastAsiaTheme="minorEastAsia"/>
        </w:rPr>
      </w:pPr>
      <w:r w:rsidRPr="00AA6A70">
        <w:rPr>
          <w:rStyle w:val="Subst"/>
          <w:rFonts w:eastAsiaTheme="minorEastAsia"/>
        </w:rPr>
        <w:t xml:space="preserve"> внешнеэкономическая деятельность;</w:t>
      </w:r>
    </w:p>
    <w:p w:rsidR="00BE3CF0" w:rsidRPr="00AA6A70" w:rsidRDefault="00BE3CF0" w:rsidP="00867D7F">
      <w:pPr>
        <w:pStyle w:val="ConsPlusNormal"/>
        <w:numPr>
          <w:ilvl w:val="0"/>
          <w:numId w:val="28"/>
        </w:numPr>
        <w:ind w:left="0" w:firstLine="567"/>
        <w:jc w:val="both"/>
        <w:rPr>
          <w:rStyle w:val="Subst"/>
          <w:rFonts w:eastAsiaTheme="minorEastAsia"/>
        </w:rPr>
      </w:pPr>
      <w:r w:rsidRPr="00AA6A70">
        <w:rPr>
          <w:rStyle w:val="Subst"/>
          <w:rFonts w:eastAsiaTheme="minorEastAsia"/>
        </w:rPr>
        <w:t xml:space="preserve"> иные виды деятельности, не запрещенные действующим законодательством.</w:t>
      </w:r>
    </w:p>
    <w:p w:rsidR="00BE3CF0" w:rsidRDefault="00BE3CF0" w:rsidP="00A859AF">
      <w:pPr>
        <w:pStyle w:val="ConsPlusNormal"/>
        <w:ind w:firstLine="540"/>
        <w:jc w:val="both"/>
        <w:rPr>
          <w:rFonts w:ascii="Times New Roman" w:hAnsi="Times New Roman" w:cs="Times New Roman"/>
        </w:rPr>
      </w:pPr>
    </w:p>
    <w:p w:rsidR="00BE3CF0" w:rsidRDefault="00BE3CF0" w:rsidP="0025771F">
      <w:pPr>
        <w:ind w:firstLine="567"/>
      </w:pPr>
      <w:r w:rsidRPr="00BE2A24">
        <w:t xml:space="preserve">миссия эмитента (при </w:t>
      </w:r>
      <w:r w:rsidRPr="005768A1">
        <w:t>наличии):</w:t>
      </w:r>
      <w:r w:rsidRPr="005768A1">
        <w:rPr>
          <w:rFonts w:ascii="Arial" w:eastAsiaTheme="minorHAnsi" w:hAnsi="Arial" w:cs="Arial"/>
          <w:b/>
          <w:i/>
          <w:lang w:eastAsia="en-US"/>
        </w:rPr>
        <w:t xml:space="preserve"> </w:t>
      </w:r>
      <w:r w:rsidRPr="00C50060">
        <w:rPr>
          <w:rFonts w:ascii="Arial" w:eastAsiaTheme="minorHAnsi" w:hAnsi="Arial" w:cs="Arial"/>
          <w:b/>
          <w:i/>
          <w:lang w:eastAsia="en-US"/>
        </w:rPr>
        <w:t>Строить красивые, комфортные дома, умножая добро и красоту в мире.</w:t>
      </w:r>
      <w:r>
        <w:rPr>
          <w:color w:val="1F497D"/>
        </w:rPr>
        <w:t xml:space="preserve"> </w:t>
      </w:r>
    </w:p>
    <w:p w:rsidR="00BE3CF0" w:rsidRPr="00BA2683" w:rsidRDefault="00BE3CF0" w:rsidP="0025771F">
      <w:pPr>
        <w:pStyle w:val="ConsPlusNormal"/>
        <w:ind w:firstLine="567"/>
        <w:jc w:val="both"/>
        <w:rPr>
          <w:b/>
          <w:i/>
        </w:rPr>
      </w:pPr>
      <w:r w:rsidRPr="00513E75">
        <w:rPr>
          <w:rFonts w:ascii="Times New Roman" w:hAnsi="Times New Roman" w:cs="Times New Roman"/>
        </w:rPr>
        <w:t>иная информация о деятельности эмитента, имеющая значение для принятия решения о при</w:t>
      </w:r>
      <w:r>
        <w:rPr>
          <w:rFonts w:ascii="Times New Roman" w:hAnsi="Times New Roman" w:cs="Times New Roman"/>
        </w:rPr>
        <w:t xml:space="preserve">обретении ценных бумаг эмитента: </w:t>
      </w:r>
      <w:r w:rsidRPr="00BA2683">
        <w:rPr>
          <w:b/>
          <w:i/>
        </w:rPr>
        <w:t>отсутствует</w:t>
      </w:r>
    </w:p>
    <w:p w:rsidR="00BE3CF0" w:rsidRDefault="00BE3CF0" w:rsidP="00A859AF">
      <w:pPr>
        <w:spacing w:after="0"/>
      </w:pPr>
    </w:p>
    <w:p w:rsidR="000647F2" w:rsidRPr="00A859AF" w:rsidRDefault="000647F2" w:rsidP="00A859AF">
      <w:pPr>
        <w:pStyle w:val="ConsPlusNormal"/>
        <w:ind w:firstLine="540"/>
        <w:jc w:val="both"/>
        <w:outlineLvl w:val="2"/>
        <w:rPr>
          <w:b/>
          <w:sz w:val="26"/>
          <w:szCs w:val="26"/>
        </w:rPr>
      </w:pPr>
      <w:bookmarkStart w:id="37" w:name="_Toc448251141"/>
      <w:r w:rsidRPr="00A859AF">
        <w:rPr>
          <w:b/>
          <w:sz w:val="26"/>
          <w:szCs w:val="26"/>
        </w:rPr>
        <w:t>3.1.4. Контактная информация</w:t>
      </w:r>
      <w:bookmarkEnd w:id="37"/>
    </w:p>
    <w:p w:rsidR="000647F2" w:rsidRDefault="000647F2" w:rsidP="00A859AF">
      <w:pPr>
        <w:pStyle w:val="ConsPlusNormal"/>
        <w:ind w:firstLine="540"/>
        <w:jc w:val="both"/>
        <w:rPr>
          <w:rFonts w:ascii="Times New Roman" w:hAnsi="Times New Roman" w:cs="Times New Roman"/>
        </w:rPr>
      </w:pPr>
    </w:p>
    <w:p w:rsidR="000647F2" w:rsidRPr="00DD1B0D" w:rsidRDefault="000647F2" w:rsidP="0025771F">
      <w:pPr>
        <w:ind w:firstLine="567"/>
        <w:jc w:val="both"/>
        <w:rPr>
          <w:rFonts w:ascii="Arial" w:eastAsiaTheme="minorHAnsi" w:hAnsi="Arial" w:cs="Arial"/>
          <w:b/>
          <w:i/>
          <w:lang w:eastAsia="en-US"/>
        </w:rPr>
      </w:pPr>
      <w:r>
        <w:t>м</w:t>
      </w:r>
      <w:r w:rsidRPr="00513E75">
        <w:t>есто нахождения эмитента</w:t>
      </w:r>
      <w:r>
        <w:t>:</w:t>
      </w:r>
      <w:r w:rsidRPr="00DD1B0D">
        <w:rPr>
          <w:rStyle w:val="ac"/>
          <w:rFonts w:eastAsiaTheme="minorEastAsia"/>
        </w:rPr>
        <w:t xml:space="preserve"> </w:t>
      </w:r>
      <w:r w:rsidRPr="00DD1B0D">
        <w:rPr>
          <w:rFonts w:ascii="Arial" w:eastAsiaTheme="minorHAnsi" w:hAnsi="Arial" w:cs="Arial"/>
          <w:b/>
          <w:i/>
          <w:lang w:eastAsia="en-US"/>
        </w:rPr>
        <w:t>197348</w:t>
      </w:r>
      <w:r w:rsidR="00997856">
        <w:rPr>
          <w:rFonts w:ascii="Arial" w:eastAsiaTheme="minorHAnsi" w:hAnsi="Arial" w:cs="Arial"/>
          <w:b/>
          <w:i/>
          <w:lang w:eastAsia="en-US"/>
        </w:rPr>
        <w:t>,</w:t>
      </w:r>
      <w:r w:rsidRPr="00DD1B0D">
        <w:rPr>
          <w:rFonts w:ascii="Arial" w:eastAsiaTheme="minorHAnsi" w:hAnsi="Arial" w:cs="Arial"/>
          <w:b/>
          <w:i/>
          <w:lang w:eastAsia="en-US"/>
        </w:rPr>
        <w:t xml:space="preserve"> Санкт-Петербург, Богатырский проспект</w:t>
      </w:r>
      <w:r w:rsidR="00997856">
        <w:rPr>
          <w:rFonts w:ascii="Arial" w:eastAsiaTheme="minorHAnsi" w:hAnsi="Arial" w:cs="Arial"/>
          <w:b/>
          <w:i/>
          <w:lang w:eastAsia="en-US"/>
        </w:rPr>
        <w:t>, дом</w:t>
      </w:r>
      <w:r w:rsidRPr="00DD1B0D">
        <w:rPr>
          <w:rFonts w:ascii="Arial" w:eastAsiaTheme="minorHAnsi" w:hAnsi="Arial" w:cs="Arial"/>
          <w:b/>
          <w:i/>
          <w:lang w:eastAsia="en-US"/>
        </w:rPr>
        <w:t xml:space="preserve"> 2, литер А</w:t>
      </w:r>
    </w:p>
    <w:p w:rsidR="000647F2" w:rsidRPr="00DD1B0D" w:rsidRDefault="000647F2" w:rsidP="0025771F">
      <w:pPr>
        <w:ind w:firstLine="567"/>
        <w:jc w:val="both"/>
        <w:rPr>
          <w:rFonts w:ascii="Arial" w:eastAsiaTheme="minorHAnsi" w:hAnsi="Arial" w:cs="Arial"/>
          <w:b/>
          <w:i/>
          <w:lang w:eastAsia="en-US"/>
        </w:rPr>
      </w:pPr>
      <w:r w:rsidRPr="00513E75">
        <w:t>адрес эмитента, указанный в едином государственном реестре юридических лиц, иной адрес для направления эмитенту почтовой корреспонденции (в случае его наличия)</w:t>
      </w:r>
      <w:r>
        <w:t xml:space="preserve">: </w:t>
      </w:r>
      <w:r w:rsidRPr="00DD1B0D">
        <w:rPr>
          <w:rFonts w:ascii="Arial" w:eastAsiaTheme="minorHAnsi" w:hAnsi="Arial" w:cs="Arial"/>
          <w:b/>
          <w:i/>
          <w:lang w:eastAsia="en-US"/>
        </w:rPr>
        <w:t>197348</w:t>
      </w:r>
      <w:r w:rsidR="00997856">
        <w:rPr>
          <w:rFonts w:ascii="Arial" w:eastAsiaTheme="minorHAnsi" w:hAnsi="Arial" w:cs="Arial"/>
          <w:b/>
          <w:i/>
          <w:lang w:eastAsia="en-US"/>
        </w:rPr>
        <w:t>,</w:t>
      </w:r>
      <w:r w:rsidRPr="00DD1B0D">
        <w:rPr>
          <w:rFonts w:ascii="Arial" w:eastAsiaTheme="minorHAnsi" w:hAnsi="Arial" w:cs="Arial"/>
          <w:b/>
          <w:i/>
          <w:lang w:eastAsia="en-US"/>
        </w:rPr>
        <w:t xml:space="preserve"> Россия, Санкт-Петербург, Богатырский проспект 2, литер А</w:t>
      </w:r>
    </w:p>
    <w:p w:rsidR="000647F2" w:rsidRPr="00DD1B0D" w:rsidRDefault="000647F2" w:rsidP="0025771F">
      <w:pPr>
        <w:ind w:firstLine="567"/>
        <w:jc w:val="both"/>
        <w:rPr>
          <w:rStyle w:val="Subst"/>
          <w:rFonts w:ascii="Arial" w:eastAsiaTheme="minorEastAsia" w:hAnsi="Arial" w:cs="Arial"/>
          <w:lang w:eastAsia="en-US"/>
        </w:rPr>
      </w:pPr>
      <w:r w:rsidRPr="00513E75">
        <w:t>номер телефона</w:t>
      </w:r>
      <w:r>
        <w:t xml:space="preserve">: </w:t>
      </w:r>
      <w:r w:rsidRPr="00DD1B0D">
        <w:rPr>
          <w:rStyle w:val="Subst"/>
          <w:rFonts w:ascii="Arial" w:eastAsiaTheme="minorEastAsia" w:hAnsi="Arial" w:cs="Arial"/>
          <w:lang w:eastAsia="en-US"/>
        </w:rPr>
        <w:t>(812) 348-3515</w:t>
      </w:r>
    </w:p>
    <w:p w:rsidR="000647F2" w:rsidRDefault="000647F2" w:rsidP="0025771F">
      <w:pPr>
        <w:pStyle w:val="ConsPlusNormal"/>
        <w:ind w:firstLine="567"/>
        <w:jc w:val="both"/>
        <w:rPr>
          <w:rFonts w:ascii="Times New Roman" w:hAnsi="Times New Roman" w:cs="Times New Roman"/>
        </w:rPr>
      </w:pPr>
      <w:r>
        <w:rPr>
          <w:rFonts w:ascii="Times New Roman" w:hAnsi="Times New Roman" w:cs="Times New Roman"/>
        </w:rPr>
        <w:t>номер</w:t>
      </w:r>
      <w:r w:rsidRPr="00513E75">
        <w:rPr>
          <w:rFonts w:ascii="Times New Roman" w:hAnsi="Times New Roman" w:cs="Times New Roman"/>
        </w:rPr>
        <w:t xml:space="preserve"> факса</w:t>
      </w:r>
      <w:r>
        <w:rPr>
          <w:rFonts w:ascii="Times New Roman" w:hAnsi="Times New Roman" w:cs="Times New Roman"/>
        </w:rPr>
        <w:t xml:space="preserve">: </w:t>
      </w:r>
      <w:r>
        <w:rPr>
          <w:rStyle w:val="Subst"/>
          <w:rFonts w:eastAsiaTheme="minorEastAsia"/>
        </w:rPr>
        <w:t>(812) 380-0529</w:t>
      </w:r>
    </w:p>
    <w:p w:rsidR="000647F2" w:rsidRPr="00787E07" w:rsidRDefault="000647F2" w:rsidP="0025771F">
      <w:pPr>
        <w:ind w:firstLine="567"/>
        <w:jc w:val="both"/>
        <w:rPr>
          <w:rFonts w:ascii="Arial" w:eastAsiaTheme="minorHAnsi" w:hAnsi="Arial" w:cs="Arial"/>
          <w:b/>
          <w:i/>
          <w:lang w:eastAsia="en-US"/>
        </w:rPr>
      </w:pPr>
      <w:r w:rsidRPr="00513E75">
        <w:t>адрес электронной почты</w:t>
      </w:r>
      <w:r>
        <w:t xml:space="preserve">: </w:t>
      </w:r>
      <w:hyperlink r:id="rId12" w:history="1">
        <w:r w:rsidR="00787E07" w:rsidRPr="00835F6C">
          <w:rPr>
            <w:rStyle w:val="aa"/>
            <w:rFonts w:ascii="Arial" w:eastAsiaTheme="minorHAnsi" w:hAnsi="Arial" w:cs="Arial"/>
            <w:b/>
            <w:i/>
            <w:lang w:eastAsia="en-US"/>
          </w:rPr>
          <w:t>dmitriy.ivanov@etalongroup.com</w:t>
        </w:r>
      </w:hyperlink>
      <w:r w:rsidR="00787E07">
        <w:rPr>
          <w:rFonts w:ascii="Arial" w:eastAsiaTheme="minorHAnsi" w:hAnsi="Arial" w:cs="Arial"/>
          <w:b/>
          <w:i/>
          <w:lang w:eastAsia="en-US"/>
        </w:rPr>
        <w:t xml:space="preserve">, </w:t>
      </w:r>
      <w:r w:rsidR="00787E07">
        <w:rPr>
          <w:rFonts w:ascii="Arial" w:eastAsiaTheme="minorHAnsi" w:hAnsi="Arial" w:cs="Arial"/>
          <w:b/>
          <w:i/>
          <w:lang w:val="en-US" w:eastAsia="en-US"/>
        </w:rPr>
        <w:t>l</w:t>
      </w:r>
      <w:r w:rsidR="00787E07" w:rsidRPr="00DD1B0D">
        <w:rPr>
          <w:rFonts w:ascii="Arial" w:eastAsiaTheme="minorHAnsi" w:hAnsi="Arial" w:cs="Arial"/>
          <w:b/>
          <w:i/>
          <w:lang w:eastAsia="en-US"/>
        </w:rPr>
        <w:t>enspecsmu</w:t>
      </w:r>
      <w:r w:rsidR="00787E07" w:rsidRPr="00732B66">
        <w:rPr>
          <w:rFonts w:ascii="Arial" w:eastAsiaTheme="minorHAnsi" w:hAnsi="Arial" w:cs="Arial"/>
          <w:b/>
          <w:i/>
          <w:lang w:eastAsia="en-US"/>
        </w:rPr>
        <w:t>@</w:t>
      </w:r>
      <w:r w:rsidR="00787E07" w:rsidRPr="00787E07">
        <w:rPr>
          <w:rFonts w:ascii="Arial" w:eastAsiaTheme="minorHAnsi" w:hAnsi="Arial" w:cs="Arial"/>
          <w:b/>
          <w:i/>
          <w:lang w:eastAsia="en-US"/>
        </w:rPr>
        <w:t>etalongroup.com</w:t>
      </w:r>
    </w:p>
    <w:p w:rsidR="001B6D1E" w:rsidRDefault="001B6D1E" w:rsidP="0025771F">
      <w:pPr>
        <w:pStyle w:val="a3"/>
        <w:ind w:firstLine="567"/>
        <w:jc w:val="both"/>
      </w:pPr>
      <w:r w:rsidRPr="00513E75">
        <w:t>адрес страницы (страниц) в сети Интернет, на которой (на которых) доступна информация об эмитенте</w:t>
      </w:r>
      <w:r w:rsidRPr="003B4A07">
        <w:t xml:space="preserve">: </w:t>
      </w:r>
      <w:r w:rsidRPr="001B6D1E">
        <w:rPr>
          <w:rFonts w:ascii="Arial" w:eastAsiaTheme="minorHAnsi" w:hAnsi="Arial" w:cs="Arial"/>
          <w:b/>
          <w:i/>
          <w:lang w:eastAsia="en-US"/>
        </w:rPr>
        <w:t xml:space="preserve"> </w:t>
      </w:r>
      <w:r w:rsidRPr="00DD1B0D">
        <w:rPr>
          <w:rFonts w:ascii="Arial" w:eastAsiaTheme="minorHAnsi" w:hAnsi="Arial" w:cs="Arial"/>
          <w:b/>
          <w:i/>
          <w:lang w:eastAsia="en-US"/>
        </w:rPr>
        <w:t>finance.lenspecsmu.ru</w:t>
      </w:r>
    </w:p>
    <w:p w:rsidR="000647F2" w:rsidRPr="005757EF" w:rsidRDefault="000647F2" w:rsidP="0025771F">
      <w:pPr>
        <w:pStyle w:val="a3"/>
        <w:ind w:firstLine="567"/>
        <w:jc w:val="both"/>
        <w:rPr>
          <w:rFonts w:ascii="Arial" w:eastAsiaTheme="minorHAnsi" w:hAnsi="Arial" w:cs="Arial"/>
          <w:b/>
          <w:i/>
          <w:lang w:eastAsia="en-US"/>
        </w:rPr>
      </w:pPr>
      <w:r w:rsidRPr="00513E75">
        <w:t>адрес страницы (страниц) в сети Интернет, на которой (на которых) доступна информация об эмитенте, размещенных и (или</w:t>
      </w:r>
      <w:r>
        <w:t>) размещаемых им ценных бумагах:</w:t>
      </w:r>
      <w:r w:rsidRPr="00DD1B0D">
        <w:rPr>
          <w:rFonts w:ascii="Arial" w:eastAsiaTheme="minorHAnsi" w:hAnsi="Arial" w:cs="Arial"/>
          <w:b/>
          <w:i/>
          <w:lang w:eastAsia="en-US"/>
        </w:rPr>
        <w:t xml:space="preserve"> http://www.e-disclosure.ru/portal/company.aspx?id=23065</w:t>
      </w:r>
      <w:r w:rsidR="005757EF">
        <w:rPr>
          <w:rFonts w:ascii="Arial" w:eastAsiaTheme="minorHAnsi" w:hAnsi="Arial" w:cs="Arial"/>
          <w:b/>
          <w:i/>
          <w:lang w:eastAsia="en-US"/>
        </w:rPr>
        <w:t xml:space="preserve"> </w:t>
      </w:r>
    </w:p>
    <w:p w:rsidR="000647F2" w:rsidRPr="00DD1B0D" w:rsidRDefault="000647F2" w:rsidP="0025771F">
      <w:pPr>
        <w:pStyle w:val="ConsPlusNormal"/>
        <w:ind w:firstLine="567"/>
        <w:jc w:val="both"/>
        <w:rPr>
          <w:rStyle w:val="Subst"/>
          <w:rFonts w:eastAsiaTheme="minorEastAsia"/>
        </w:rPr>
      </w:pPr>
      <w:r>
        <w:rPr>
          <w:rFonts w:ascii="Times New Roman" w:hAnsi="Times New Roman" w:cs="Times New Roman"/>
        </w:rPr>
        <w:t>а</w:t>
      </w:r>
      <w:r w:rsidRPr="00513E75">
        <w:rPr>
          <w:rFonts w:ascii="Times New Roman" w:hAnsi="Times New Roman" w:cs="Times New Roman"/>
        </w:rPr>
        <w:t xml:space="preserve">дрес, номер телефона, факса, адрес электронной почты, адрес страницы в сети Интернет специального подразделения эмитента (третьего лица) по работе с акционерами и инвесторами </w:t>
      </w:r>
      <w:r>
        <w:rPr>
          <w:rFonts w:ascii="Times New Roman" w:hAnsi="Times New Roman" w:cs="Times New Roman"/>
        </w:rPr>
        <w:t xml:space="preserve">эмитента (в случае его наличия): </w:t>
      </w:r>
      <w:r w:rsidRPr="00DD1B0D">
        <w:rPr>
          <w:rStyle w:val="Subst"/>
          <w:rFonts w:eastAsiaTheme="minorEastAsia"/>
        </w:rPr>
        <w:t>специальное подразделение Эмитента (третьего лица) по работе с акционерами и инвесторами у Эмитента отсутствует.</w:t>
      </w:r>
    </w:p>
    <w:p w:rsidR="000647F2" w:rsidRPr="00513E75" w:rsidRDefault="000647F2" w:rsidP="00A859AF">
      <w:pPr>
        <w:pStyle w:val="ConsPlusNormal"/>
        <w:ind w:firstLine="540"/>
        <w:jc w:val="both"/>
        <w:rPr>
          <w:rFonts w:ascii="Times New Roman" w:hAnsi="Times New Roman" w:cs="Times New Roman"/>
        </w:rPr>
      </w:pPr>
    </w:p>
    <w:p w:rsidR="000647F2" w:rsidRPr="00A859AF" w:rsidRDefault="000647F2" w:rsidP="00A859AF">
      <w:pPr>
        <w:pStyle w:val="ConsPlusNormal"/>
        <w:ind w:firstLine="540"/>
        <w:jc w:val="both"/>
        <w:outlineLvl w:val="2"/>
        <w:rPr>
          <w:b/>
          <w:sz w:val="26"/>
          <w:szCs w:val="26"/>
        </w:rPr>
      </w:pPr>
      <w:bookmarkStart w:id="38" w:name="_Toc448251142"/>
      <w:r w:rsidRPr="00A859AF">
        <w:rPr>
          <w:b/>
          <w:sz w:val="26"/>
          <w:szCs w:val="26"/>
        </w:rPr>
        <w:t>3.1.5. Идентификационный номер налогоплательщика</w:t>
      </w:r>
      <w:bookmarkEnd w:id="38"/>
    </w:p>
    <w:p w:rsidR="000647F2" w:rsidRPr="00D074A0" w:rsidRDefault="000647F2" w:rsidP="00A859AF">
      <w:pPr>
        <w:pStyle w:val="ConsPlusNormal"/>
        <w:ind w:firstLine="567"/>
        <w:jc w:val="both"/>
        <w:rPr>
          <w:rStyle w:val="Subst"/>
        </w:rPr>
      </w:pPr>
      <w:r>
        <w:rPr>
          <w:rStyle w:val="Subst"/>
          <w:rFonts w:eastAsiaTheme="minorEastAsia"/>
        </w:rPr>
        <w:t>7802084569</w:t>
      </w:r>
    </w:p>
    <w:p w:rsidR="000647F2" w:rsidRPr="00513E75" w:rsidRDefault="000647F2" w:rsidP="00A859AF">
      <w:pPr>
        <w:pStyle w:val="ConsPlusNormal"/>
        <w:ind w:firstLine="540"/>
        <w:jc w:val="both"/>
        <w:rPr>
          <w:rFonts w:ascii="Times New Roman" w:hAnsi="Times New Roman" w:cs="Times New Roman"/>
        </w:rPr>
      </w:pPr>
    </w:p>
    <w:p w:rsidR="000647F2" w:rsidRPr="00A859AF" w:rsidRDefault="000647F2" w:rsidP="00A859AF">
      <w:pPr>
        <w:pStyle w:val="ConsPlusNormal"/>
        <w:ind w:firstLine="540"/>
        <w:jc w:val="both"/>
        <w:outlineLvl w:val="2"/>
        <w:rPr>
          <w:b/>
          <w:sz w:val="26"/>
          <w:szCs w:val="26"/>
        </w:rPr>
      </w:pPr>
      <w:bookmarkStart w:id="39" w:name="_Toc448251143"/>
      <w:r w:rsidRPr="00A859AF">
        <w:rPr>
          <w:b/>
          <w:sz w:val="26"/>
          <w:szCs w:val="26"/>
        </w:rPr>
        <w:t>3.1.6. Филиалы и представительства эмитента</w:t>
      </w:r>
      <w:bookmarkEnd w:id="39"/>
    </w:p>
    <w:p w:rsidR="000647F2" w:rsidRPr="000647F2" w:rsidRDefault="000647F2" w:rsidP="000647F2">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0647F2" w:rsidRPr="00513E75" w:rsidRDefault="000647F2" w:rsidP="00A859AF">
      <w:pPr>
        <w:pStyle w:val="ConsPlusNormal"/>
        <w:ind w:firstLine="540"/>
        <w:jc w:val="both"/>
        <w:rPr>
          <w:rFonts w:ascii="Times New Roman" w:hAnsi="Times New Roman" w:cs="Times New Roman"/>
        </w:rPr>
      </w:pPr>
    </w:p>
    <w:p w:rsidR="000647F2" w:rsidRPr="00A859AF" w:rsidRDefault="000647F2" w:rsidP="00A859AF">
      <w:pPr>
        <w:pStyle w:val="ConsPlusNormal"/>
        <w:ind w:firstLine="540"/>
        <w:jc w:val="both"/>
        <w:outlineLvl w:val="1"/>
        <w:rPr>
          <w:b/>
          <w:i/>
          <w:sz w:val="28"/>
          <w:szCs w:val="28"/>
        </w:rPr>
      </w:pPr>
      <w:bookmarkStart w:id="40" w:name="_Toc448251144"/>
      <w:r w:rsidRPr="00A859AF">
        <w:rPr>
          <w:b/>
          <w:i/>
          <w:sz w:val="28"/>
          <w:szCs w:val="28"/>
        </w:rPr>
        <w:t>3.2. Основная хозяйственная деятельность эмитента</w:t>
      </w:r>
      <w:bookmarkEnd w:id="40"/>
    </w:p>
    <w:p w:rsidR="000647F2" w:rsidRPr="00513E75" w:rsidRDefault="000647F2" w:rsidP="00A859AF">
      <w:pPr>
        <w:pStyle w:val="ConsPlusNormal"/>
        <w:ind w:firstLine="540"/>
        <w:jc w:val="both"/>
        <w:rPr>
          <w:rFonts w:ascii="Times New Roman" w:hAnsi="Times New Roman" w:cs="Times New Roman"/>
        </w:rPr>
      </w:pPr>
    </w:p>
    <w:p w:rsidR="000647F2" w:rsidRPr="00A859AF" w:rsidRDefault="000647F2" w:rsidP="00A859AF">
      <w:pPr>
        <w:pStyle w:val="ConsPlusNormal"/>
        <w:ind w:firstLine="540"/>
        <w:jc w:val="both"/>
        <w:outlineLvl w:val="2"/>
        <w:rPr>
          <w:b/>
          <w:sz w:val="26"/>
          <w:szCs w:val="26"/>
        </w:rPr>
      </w:pPr>
      <w:bookmarkStart w:id="41" w:name="_Toc448251145"/>
      <w:r w:rsidRPr="00A859AF">
        <w:rPr>
          <w:b/>
          <w:sz w:val="26"/>
          <w:szCs w:val="26"/>
        </w:rPr>
        <w:t>3.2.1. Основные виды экономической деятельности эмитента</w:t>
      </w:r>
      <w:bookmarkEnd w:id="41"/>
    </w:p>
    <w:p w:rsidR="000647F2" w:rsidRDefault="000647F2" w:rsidP="000647F2">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0647F2" w:rsidRPr="00513E75" w:rsidRDefault="000647F2" w:rsidP="00A859AF">
      <w:pPr>
        <w:pStyle w:val="ConsPlusNormal"/>
        <w:ind w:firstLine="540"/>
        <w:jc w:val="both"/>
        <w:rPr>
          <w:rFonts w:ascii="Times New Roman" w:hAnsi="Times New Roman" w:cs="Times New Roman"/>
        </w:rPr>
      </w:pPr>
    </w:p>
    <w:p w:rsidR="000647F2" w:rsidRPr="00A859AF" w:rsidRDefault="000647F2" w:rsidP="00A859AF">
      <w:pPr>
        <w:pStyle w:val="ConsPlusNormal"/>
        <w:ind w:firstLine="540"/>
        <w:jc w:val="both"/>
        <w:outlineLvl w:val="2"/>
        <w:rPr>
          <w:b/>
          <w:sz w:val="26"/>
          <w:szCs w:val="26"/>
        </w:rPr>
      </w:pPr>
      <w:bookmarkStart w:id="42" w:name="Par34"/>
      <w:bookmarkStart w:id="43" w:name="_Toc448251146"/>
      <w:bookmarkEnd w:id="42"/>
      <w:r w:rsidRPr="00A859AF">
        <w:rPr>
          <w:b/>
          <w:sz w:val="26"/>
          <w:szCs w:val="26"/>
        </w:rPr>
        <w:t>3.2.2. Основная хозяйственная деятельность эмитента</w:t>
      </w:r>
      <w:bookmarkEnd w:id="43"/>
    </w:p>
    <w:p w:rsidR="000647F2" w:rsidRDefault="000647F2" w:rsidP="000647F2">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0647F2" w:rsidRPr="00513E75" w:rsidRDefault="000647F2" w:rsidP="00A859AF">
      <w:pPr>
        <w:pStyle w:val="ConsPlusNormal"/>
        <w:ind w:firstLine="540"/>
        <w:jc w:val="both"/>
        <w:rPr>
          <w:rFonts w:ascii="Times New Roman" w:hAnsi="Times New Roman" w:cs="Times New Roman"/>
        </w:rPr>
      </w:pPr>
    </w:p>
    <w:p w:rsidR="000647F2" w:rsidRPr="00A859AF" w:rsidRDefault="000647F2" w:rsidP="00A859AF">
      <w:pPr>
        <w:pStyle w:val="ConsPlusNormal"/>
        <w:ind w:firstLine="540"/>
        <w:jc w:val="both"/>
        <w:outlineLvl w:val="2"/>
        <w:rPr>
          <w:b/>
          <w:sz w:val="26"/>
          <w:szCs w:val="26"/>
        </w:rPr>
      </w:pPr>
      <w:bookmarkStart w:id="44" w:name="_Toc448251147"/>
      <w:r w:rsidRPr="00A859AF">
        <w:rPr>
          <w:b/>
          <w:sz w:val="26"/>
          <w:szCs w:val="26"/>
        </w:rPr>
        <w:t>3.2.3. Материалы, товары (сырье) и поставщики эмитента</w:t>
      </w:r>
      <w:bookmarkEnd w:id="44"/>
    </w:p>
    <w:p w:rsidR="006B679B" w:rsidRDefault="006B679B" w:rsidP="00EA5AEC">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0647F2" w:rsidRPr="00A859AF" w:rsidRDefault="000647F2" w:rsidP="00A859AF">
      <w:pPr>
        <w:pStyle w:val="ConsPlusNormal"/>
        <w:ind w:firstLine="540"/>
        <w:jc w:val="both"/>
        <w:outlineLvl w:val="2"/>
        <w:rPr>
          <w:b/>
          <w:sz w:val="26"/>
          <w:szCs w:val="26"/>
        </w:rPr>
      </w:pPr>
      <w:bookmarkStart w:id="45" w:name="Par93"/>
      <w:bookmarkStart w:id="46" w:name="_Toc448251148"/>
      <w:bookmarkEnd w:id="45"/>
      <w:r w:rsidRPr="00A859AF">
        <w:rPr>
          <w:b/>
          <w:sz w:val="26"/>
          <w:szCs w:val="26"/>
        </w:rPr>
        <w:t>3.2.4. Рынки сбыта продукции (работ, услуг) эмитента</w:t>
      </w:r>
      <w:bookmarkEnd w:id="46"/>
    </w:p>
    <w:p w:rsidR="000647F2" w:rsidRDefault="000647F2" w:rsidP="000647F2">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0647F2" w:rsidRPr="00513E75" w:rsidRDefault="000647F2" w:rsidP="00A859AF">
      <w:pPr>
        <w:pStyle w:val="ConsPlusNormal"/>
        <w:ind w:firstLine="540"/>
        <w:jc w:val="both"/>
        <w:rPr>
          <w:rFonts w:ascii="Times New Roman" w:hAnsi="Times New Roman" w:cs="Times New Roman"/>
        </w:rPr>
      </w:pPr>
    </w:p>
    <w:p w:rsidR="000647F2" w:rsidRPr="00A859AF" w:rsidRDefault="000647F2" w:rsidP="00A859AF">
      <w:pPr>
        <w:pStyle w:val="ConsPlusNormal"/>
        <w:ind w:firstLine="540"/>
        <w:jc w:val="both"/>
        <w:outlineLvl w:val="2"/>
        <w:rPr>
          <w:b/>
          <w:sz w:val="26"/>
          <w:szCs w:val="26"/>
        </w:rPr>
      </w:pPr>
      <w:bookmarkStart w:id="47" w:name="_Toc448251149"/>
      <w:r w:rsidRPr="00A859AF">
        <w:rPr>
          <w:b/>
          <w:sz w:val="26"/>
          <w:szCs w:val="26"/>
        </w:rPr>
        <w:t>3.2.5. Сведения о наличии у эмитента разрешений (лицензий) или допусков к отдельным видам работ</w:t>
      </w:r>
      <w:bookmarkEnd w:id="47"/>
    </w:p>
    <w:p w:rsidR="000647F2" w:rsidRDefault="000647F2" w:rsidP="000647F2">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0647F2" w:rsidRPr="00513E75" w:rsidRDefault="000647F2" w:rsidP="00A859AF">
      <w:pPr>
        <w:pStyle w:val="ConsPlusNormal"/>
        <w:ind w:firstLine="540"/>
        <w:jc w:val="both"/>
        <w:rPr>
          <w:rFonts w:ascii="Times New Roman" w:hAnsi="Times New Roman" w:cs="Times New Roman"/>
        </w:rPr>
      </w:pPr>
    </w:p>
    <w:p w:rsidR="000647F2" w:rsidRPr="00A859AF" w:rsidRDefault="000647F2" w:rsidP="00A859AF">
      <w:pPr>
        <w:pStyle w:val="ConsPlusNormal"/>
        <w:ind w:firstLine="540"/>
        <w:jc w:val="both"/>
        <w:outlineLvl w:val="2"/>
        <w:rPr>
          <w:b/>
          <w:sz w:val="26"/>
          <w:szCs w:val="26"/>
        </w:rPr>
      </w:pPr>
      <w:bookmarkStart w:id="48" w:name="_Toc448251150"/>
      <w:r w:rsidRPr="00A859AF">
        <w:rPr>
          <w:b/>
          <w:sz w:val="26"/>
          <w:szCs w:val="26"/>
        </w:rPr>
        <w:t>3.2.6. Сведения о деятельности отдельных категорий эмитентов эмиссионных ценных бумаг</w:t>
      </w:r>
      <w:bookmarkEnd w:id="48"/>
    </w:p>
    <w:p w:rsidR="000647F2" w:rsidRDefault="000647F2" w:rsidP="000647F2">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0647F2" w:rsidRPr="00513E75" w:rsidRDefault="000647F2" w:rsidP="00A859AF">
      <w:pPr>
        <w:pStyle w:val="ConsPlusNormal"/>
        <w:ind w:firstLine="540"/>
        <w:jc w:val="both"/>
        <w:rPr>
          <w:rFonts w:ascii="Times New Roman" w:hAnsi="Times New Roman" w:cs="Times New Roman"/>
        </w:rPr>
      </w:pPr>
    </w:p>
    <w:p w:rsidR="000647F2" w:rsidRPr="00A859AF" w:rsidRDefault="000647F2" w:rsidP="00A859AF">
      <w:pPr>
        <w:pStyle w:val="ConsPlusNormal"/>
        <w:ind w:firstLine="540"/>
        <w:jc w:val="both"/>
        <w:outlineLvl w:val="2"/>
        <w:rPr>
          <w:b/>
          <w:sz w:val="26"/>
          <w:szCs w:val="26"/>
        </w:rPr>
      </w:pPr>
      <w:bookmarkStart w:id="49" w:name="Par194"/>
      <w:bookmarkStart w:id="50" w:name="_Toc448251151"/>
      <w:bookmarkEnd w:id="49"/>
      <w:r w:rsidRPr="00A859AF">
        <w:rPr>
          <w:b/>
          <w:sz w:val="26"/>
          <w:szCs w:val="26"/>
        </w:rPr>
        <w:t>3.2.7. Дополнительные сведения об эмитентах, основной деятельностью которых является добыча полезных ископаемых</w:t>
      </w:r>
      <w:bookmarkEnd w:id="50"/>
    </w:p>
    <w:p w:rsidR="000647F2" w:rsidRDefault="000647F2" w:rsidP="000647F2">
      <w:pPr>
        <w:pStyle w:val="ConsPlusNormal"/>
        <w:ind w:firstLine="540"/>
        <w:jc w:val="both"/>
        <w:rPr>
          <w:b/>
          <w:bCs/>
          <w:i/>
          <w:iCs/>
        </w:rPr>
      </w:pPr>
      <w:bookmarkStart w:id="51" w:name="Par207"/>
      <w:bookmarkEnd w:id="51"/>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0647F2" w:rsidRDefault="000647F2" w:rsidP="00A859AF">
      <w:pPr>
        <w:pStyle w:val="ConsPlusNormal"/>
        <w:ind w:firstLine="540"/>
        <w:jc w:val="both"/>
        <w:rPr>
          <w:rFonts w:ascii="Times New Roman" w:hAnsi="Times New Roman" w:cs="Times New Roman"/>
        </w:rPr>
      </w:pPr>
    </w:p>
    <w:p w:rsidR="000647F2" w:rsidRPr="00A859AF" w:rsidRDefault="000647F2" w:rsidP="00A859AF">
      <w:pPr>
        <w:pStyle w:val="ConsPlusNormal"/>
        <w:ind w:firstLine="540"/>
        <w:jc w:val="both"/>
        <w:outlineLvl w:val="2"/>
        <w:rPr>
          <w:b/>
          <w:sz w:val="26"/>
          <w:szCs w:val="26"/>
        </w:rPr>
      </w:pPr>
      <w:bookmarkStart w:id="52" w:name="_Toc448251152"/>
      <w:r w:rsidRPr="00A859AF">
        <w:rPr>
          <w:b/>
          <w:sz w:val="26"/>
          <w:szCs w:val="26"/>
        </w:rPr>
        <w:t>3.2.8. Дополнительные сведения об эмитентах, основной деятельностью которых является оказание услуг связи</w:t>
      </w:r>
      <w:bookmarkEnd w:id="52"/>
    </w:p>
    <w:p w:rsidR="000647F2" w:rsidRDefault="000647F2" w:rsidP="000647F2">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EA5AEC" w:rsidRDefault="00EA5AEC" w:rsidP="00A859AF">
      <w:pPr>
        <w:pStyle w:val="ConsPlusNormal"/>
        <w:ind w:firstLine="540"/>
        <w:jc w:val="both"/>
        <w:rPr>
          <w:rFonts w:ascii="Times New Roman" w:hAnsi="Times New Roman" w:cs="Times New Roman"/>
        </w:rPr>
      </w:pPr>
    </w:p>
    <w:p w:rsidR="000647F2" w:rsidRPr="00A859AF" w:rsidRDefault="000647F2" w:rsidP="00A859AF">
      <w:pPr>
        <w:pStyle w:val="ConsPlusNormal"/>
        <w:ind w:firstLine="540"/>
        <w:jc w:val="both"/>
        <w:outlineLvl w:val="1"/>
        <w:rPr>
          <w:b/>
          <w:i/>
          <w:sz w:val="28"/>
          <w:szCs w:val="28"/>
        </w:rPr>
      </w:pPr>
      <w:bookmarkStart w:id="53" w:name="_Toc448251153"/>
      <w:r w:rsidRPr="00A859AF">
        <w:rPr>
          <w:b/>
          <w:i/>
          <w:sz w:val="28"/>
          <w:szCs w:val="28"/>
        </w:rPr>
        <w:t>3.3. Планы будущей деятельности эмитента</w:t>
      </w:r>
      <w:bookmarkEnd w:id="53"/>
    </w:p>
    <w:p w:rsidR="00E06C80" w:rsidRDefault="00E06C80" w:rsidP="00EA5AEC">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0647F2" w:rsidRPr="00513E75" w:rsidRDefault="000647F2" w:rsidP="00A859AF">
      <w:pPr>
        <w:pStyle w:val="ConsPlusNormal"/>
        <w:ind w:firstLine="540"/>
        <w:jc w:val="both"/>
        <w:rPr>
          <w:rFonts w:ascii="Times New Roman" w:hAnsi="Times New Roman" w:cs="Times New Roman"/>
        </w:rPr>
      </w:pPr>
    </w:p>
    <w:p w:rsidR="000647F2" w:rsidRPr="00A859AF" w:rsidRDefault="000647F2" w:rsidP="00A859AF">
      <w:pPr>
        <w:pStyle w:val="ConsPlusNormal"/>
        <w:ind w:firstLine="540"/>
        <w:jc w:val="both"/>
        <w:outlineLvl w:val="1"/>
        <w:rPr>
          <w:b/>
          <w:i/>
          <w:sz w:val="28"/>
          <w:szCs w:val="28"/>
        </w:rPr>
      </w:pPr>
      <w:bookmarkStart w:id="54" w:name="_Toc448251154"/>
      <w:r w:rsidRPr="00A859AF">
        <w:rPr>
          <w:b/>
          <w:i/>
          <w:sz w:val="28"/>
          <w:szCs w:val="28"/>
        </w:rPr>
        <w:t>3.4. Участие эмитента в банковских группах, банковских холдингах, холдингах и ассоциациях</w:t>
      </w:r>
      <w:bookmarkEnd w:id="54"/>
    </w:p>
    <w:p w:rsidR="000647F2" w:rsidRDefault="000647F2" w:rsidP="000647F2">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0647F2" w:rsidRPr="00513E75" w:rsidRDefault="000647F2" w:rsidP="00A859AF">
      <w:pPr>
        <w:pStyle w:val="ConsPlusNormal"/>
        <w:ind w:firstLine="540"/>
        <w:jc w:val="both"/>
        <w:rPr>
          <w:rFonts w:ascii="Times New Roman" w:hAnsi="Times New Roman" w:cs="Times New Roman"/>
        </w:rPr>
      </w:pPr>
    </w:p>
    <w:p w:rsidR="000647F2" w:rsidRPr="00A859AF" w:rsidRDefault="000647F2" w:rsidP="00A859AF">
      <w:pPr>
        <w:pStyle w:val="ConsPlusNormal"/>
        <w:ind w:firstLine="540"/>
        <w:jc w:val="both"/>
        <w:outlineLvl w:val="1"/>
        <w:rPr>
          <w:b/>
          <w:i/>
          <w:sz w:val="28"/>
          <w:szCs w:val="28"/>
        </w:rPr>
      </w:pPr>
      <w:bookmarkStart w:id="55" w:name="_Toc448251155"/>
      <w:r w:rsidRPr="00A859AF">
        <w:rPr>
          <w:b/>
          <w:i/>
          <w:sz w:val="28"/>
          <w:szCs w:val="28"/>
        </w:rPr>
        <w:t>3.5. Дочерние и зависимые хозяйственные общества эмитента</w:t>
      </w:r>
      <w:bookmarkEnd w:id="55"/>
    </w:p>
    <w:p w:rsidR="000647F2" w:rsidRDefault="000647F2" w:rsidP="000647F2">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0647F2" w:rsidRPr="00513E75" w:rsidRDefault="000647F2" w:rsidP="00A859AF">
      <w:pPr>
        <w:pStyle w:val="ConsPlusNormal"/>
        <w:ind w:firstLine="540"/>
        <w:jc w:val="both"/>
        <w:rPr>
          <w:rFonts w:ascii="Times New Roman" w:hAnsi="Times New Roman" w:cs="Times New Roman"/>
        </w:rPr>
      </w:pPr>
    </w:p>
    <w:p w:rsidR="000647F2" w:rsidRPr="00A859AF" w:rsidRDefault="000647F2" w:rsidP="00A859AF">
      <w:pPr>
        <w:pStyle w:val="ConsPlusNormal"/>
        <w:ind w:firstLine="540"/>
        <w:jc w:val="both"/>
        <w:outlineLvl w:val="1"/>
        <w:rPr>
          <w:b/>
          <w:i/>
          <w:sz w:val="28"/>
          <w:szCs w:val="28"/>
        </w:rPr>
      </w:pPr>
      <w:bookmarkStart w:id="56" w:name="_Toc448251156"/>
      <w:r w:rsidRPr="00A859AF">
        <w:rPr>
          <w:b/>
          <w:i/>
          <w:sz w:val="28"/>
          <w:szCs w:val="28"/>
        </w:rPr>
        <w:t>3.6. Состав, структура и стоимость основных средств эмитента, информация о планах по приобретению, замене, выбытию основных средств, а также обо всех фактах обременения основных средств эмитента</w:t>
      </w:r>
      <w:bookmarkEnd w:id="56"/>
    </w:p>
    <w:p w:rsidR="000647F2" w:rsidRDefault="000647F2" w:rsidP="000647F2">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0647F2" w:rsidRPr="00513E75" w:rsidRDefault="000647F2" w:rsidP="00A859AF">
      <w:pPr>
        <w:pStyle w:val="ConsPlusNormal"/>
        <w:ind w:firstLine="540"/>
        <w:jc w:val="both"/>
        <w:rPr>
          <w:rFonts w:ascii="Times New Roman" w:hAnsi="Times New Roman" w:cs="Times New Roman"/>
        </w:rPr>
      </w:pPr>
    </w:p>
    <w:p w:rsidR="000647F2" w:rsidRPr="00A859AF" w:rsidRDefault="000647F2" w:rsidP="00A859AF">
      <w:pPr>
        <w:pStyle w:val="ConsPlusNormal"/>
        <w:ind w:firstLine="540"/>
        <w:jc w:val="both"/>
        <w:outlineLvl w:val="1"/>
        <w:rPr>
          <w:b/>
          <w:i/>
          <w:sz w:val="28"/>
          <w:szCs w:val="28"/>
        </w:rPr>
      </w:pPr>
      <w:bookmarkStart w:id="57" w:name="_Toc448251157"/>
      <w:r w:rsidRPr="00A859AF">
        <w:rPr>
          <w:b/>
          <w:i/>
          <w:sz w:val="28"/>
          <w:szCs w:val="28"/>
        </w:rPr>
        <w:t>3.7. Подконтрольные эмитенту организации, имеющие для него существенное значение</w:t>
      </w:r>
      <w:bookmarkEnd w:id="57"/>
    </w:p>
    <w:p w:rsidR="00F07E0C" w:rsidRDefault="00F07E0C" w:rsidP="00EA5AEC">
      <w:pPr>
        <w:pStyle w:val="ConsPlusNormal"/>
        <w:ind w:firstLine="540"/>
        <w:jc w:val="both"/>
        <w:rPr>
          <w:b/>
          <w:bCs/>
          <w:i/>
          <w:iCs/>
        </w:rPr>
      </w:pPr>
    </w:p>
    <w:p w:rsidR="000647F2" w:rsidRDefault="00E06C80" w:rsidP="00315E98">
      <w:pPr>
        <w:pStyle w:val="ConsPlusNormal"/>
        <w:ind w:firstLine="540"/>
        <w:jc w:val="both"/>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r w:rsidR="000647F2">
        <w:br w:type="page"/>
      </w:r>
    </w:p>
    <w:p w:rsidR="000647F2" w:rsidRPr="007D3222" w:rsidRDefault="000647F2" w:rsidP="000647F2">
      <w:pPr>
        <w:pStyle w:val="ConsPlusNormal"/>
        <w:ind w:firstLine="540"/>
        <w:jc w:val="both"/>
        <w:outlineLvl w:val="0"/>
        <w:rPr>
          <w:b/>
          <w:i/>
          <w:sz w:val="32"/>
          <w:szCs w:val="32"/>
        </w:rPr>
      </w:pPr>
      <w:bookmarkStart w:id="58" w:name="_Toc448251158"/>
      <w:r w:rsidRPr="007D3222">
        <w:rPr>
          <w:b/>
          <w:sz w:val="32"/>
          <w:szCs w:val="32"/>
        </w:rPr>
        <w:t>Раздел IV. Сведения о финансово-хозяйственной деятельности эмитента</w:t>
      </w:r>
      <w:bookmarkEnd w:id="58"/>
    </w:p>
    <w:p w:rsidR="000647F2" w:rsidRPr="00926BED" w:rsidRDefault="000647F2" w:rsidP="000647F2">
      <w:pPr>
        <w:pStyle w:val="ConsPlusNormal"/>
        <w:jc w:val="both"/>
        <w:rPr>
          <w:b/>
          <w:i/>
        </w:rPr>
      </w:pPr>
    </w:p>
    <w:p w:rsidR="000647F2" w:rsidRPr="007D3222" w:rsidRDefault="000647F2" w:rsidP="000647F2">
      <w:pPr>
        <w:pStyle w:val="ConsPlusNormal"/>
        <w:ind w:firstLine="540"/>
        <w:jc w:val="both"/>
        <w:outlineLvl w:val="1"/>
        <w:rPr>
          <w:b/>
          <w:i/>
          <w:sz w:val="28"/>
          <w:szCs w:val="28"/>
        </w:rPr>
      </w:pPr>
      <w:bookmarkStart w:id="59" w:name="_Toc448251159"/>
      <w:r w:rsidRPr="007D3222">
        <w:rPr>
          <w:b/>
          <w:i/>
          <w:sz w:val="28"/>
          <w:szCs w:val="28"/>
        </w:rPr>
        <w:t>4.1. Результаты финансово-хозяйственной деятельности эмитента</w:t>
      </w:r>
      <w:bookmarkEnd w:id="59"/>
    </w:p>
    <w:p w:rsidR="000647F2" w:rsidRPr="008C728A" w:rsidRDefault="000647F2" w:rsidP="000647F2">
      <w:pPr>
        <w:pStyle w:val="ConsPlusNormal"/>
        <w:ind w:firstLine="540"/>
        <w:jc w:val="both"/>
        <w:rPr>
          <w:b/>
          <w:i/>
        </w:rPr>
      </w:pPr>
    </w:p>
    <w:p w:rsidR="000647F2" w:rsidRPr="00604120" w:rsidRDefault="000647F2" w:rsidP="0025771F">
      <w:pPr>
        <w:ind w:firstLine="540"/>
        <w:jc w:val="both"/>
        <w:rPr>
          <w:rFonts w:eastAsia="Calibri"/>
        </w:rPr>
      </w:pPr>
      <w:r w:rsidRPr="00604120">
        <w:rPr>
          <w:rFonts w:eastAsia="Calibri"/>
        </w:rPr>
        <w:t>Раскрывается динамика показателей, характеризующих результаты финансово-хозяйственной деятельности эмитента, в том числе ее прибыльность или убыточность, за пять последних завершенных отчетных лет либо за каждый завершенный отчетный год, если эмитент осуществляет свою деятельность менее пяти лет. Указанная информация приводится в виде таблицы за каждый отчетный период.</w:t>
      </w:r>
    </w:p>
    <w:p w:rsidR="000647F2" w:rsidRPr="00604120" w:rsidRDefault="000647F2" w:rsidP="000647F2">
      <w:pPr>
        <w:ind w:firstLine="540"/>
        <w:jc w:val="right"/>
        <w:rPr>
          <w:b/>
        </w:rPr>
      </w:pPr>
    </w:p>
    <w:tbl>
      <w:tblPr>
        <w:tblW w:w="932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0"/>
        <w:gridCol w:w="1243"/>
        <w:gridCol w:w="1275"/>
        <w:gridCol w:w="1276"/>
        <w:gridCol w:w="1134"/>
        <w:gridCol w:w="1134"/>
      </w:tblGrid>
      <w:tr w:rsidR="000647F2" w:rsidRPr="00604120" w:rsidTr="00DA5F17">
        <w:tc>
          <w:tcPr>
            <w:tcW w:w="3260" w:type="dxa"/>
            <w:shd w:val="clear" w:color="auto" w:fill="auto"/>
          </w:tcPr>
          <w:p w:rsidR="000647F2" w:rsidRPr="00604120" w:rsidRDefault="000647F2" w:rsidP="00B972FD">
            <w:pPr>
              <w:jc w:val="center"/>
              <w:rPr>
                <w:rFonts w:ascii="Arial" w:hAnsi="Arial" w:cs="Arial"/>
                <w:b/>
              </w:rPr>
            </w:pPr>
            <w:r w:rsidRPr="00604120">
              <w:rPr>
                <w:rFonts w:ascii="Arial" w:hAnsi="Arial" w:cs="Arial"/>
                <w:b/>
              </w:rPr>
              <w:t>Наименование статьи</w:t>
            </w:r>
          </w:p>
        </w:tc>
        <w:tc>
          <w:tcPr>
            <w:tcW w:w="1243" w:type="dxa"/>
            <w:shd w:val="clear" w:color="auto" w:fill="auto"/>
          </w:tcPr>
          <w:p w:rsidR="000647F2" w:rsidRPr="00604120" w:rsidRDefault="000647F2" w:rsidP="00B972FD">
            <w:pPr>
              <w:jc w:val="center"/>
              <w:rPr>
                <w:rFonts w:ascii="Arial" w:hAnsi="Arial" w:cs="Arial"/>
                <w:b/>
              </w:rPr>
            </w:pPr>
            <w:r w:rsidRPr="00604120">
              <w:rPr>
                <w:rFonts w:ascii="Arial" w:hAnsi="Arial" w:cs="Arial"/>
                <w:b/>
              </w:rPr>
              <w:t>201</w:t>
            </w:r>
            <w:r>
              <w:rPr>
                <w:rFonts w:ascii="Arial" w:hAnsi="Arial" w:cs="Arial"/>
                <w:b/>
              </w:rPr>
              <w:t>1</w:t>
            </w:r>
          </w:p>
        </w:tc>
        <w:tc>
          <w:tcPr>
            <w:tcW w:w="1275" w:type="dxa"/>
            <w:shd w:val="clear" w:color="auto" w:fill="auto"/>
          </w:tcPr>
          <w:p w:rsidR="000647F2" w:rsidRPr="00604120" w:rsidRDefault="000647F2" w:rsidP="00B972FD">
            <w:pPr>
              <w:jc w:val="center"/>
              <w:rPr>
                <w:rFonts w:ascii="Arial" w:hAnsi="Arial" w:cs="Arial"/>
                <w:b/>
              </w:rPr>
            </w:pPr>
            <w:r w:rsidRPr="00604120">
              <w:rPr>
                <w:rFonts w:ascii="Arial" w:hAnsi="Arial" w:cs="Arial"/>
                <w:b/>
              </w:rPr>
              <w:t>201</w:t>
            </w:r>
            <w:r>
              <w:rPr>
                <w:rFonts w:ascii="Arial" w:hAnsi="Arial" w:cs="Arial"/>
                <w:b/>
              </w:rPr>
              <w:t>2</w:t>
            </w:r>
          </w:p>
        </w:tc>
        <w:tc>
          <w:tcPr>
            <w:tcW w:w="1276" w:type="dxa"/>
            <w:shd w:val="clear" w:color="auto" w:fill="auto"/>
          </w:tcPr>
          <w:p w:rsidR="000647F2" w:rsidRPr="00604120" w:rsidRDefault="000647F2" w:rsidP="00B972FD">
            <w:pPr>
              <w:jc w:val="center"/>
              <w:rPr>
                <w:rFonts w:ascii="Arial" w:hAnsi="Arial" w:cs="Arial"/>
                <w:b/>
              </w:rPr>
            </w:pPr>
            <w:r w:rsidRPr="00604120">
              <w:rPr>
                <w:rFonts w:ascii="Arial" w:hAnsi="Arial" w:cs="Arial"/>
                <w:b/>
              </w:rPr>
              <w:t>201</w:t>
            </w:r>
            <w:r>
              <w:rPr>
                <w:rFonts w:ascii="Arial" w:hAnsi="Arial" w:cs="Arial"/>
                <w:b/>
              </w:rPr>
              <w:t>3</w:t>
            </w:r>
          </w:p>
        </w:tc>
        <w:tc>
          <w:tcPr>
            <w:tcW w:w="1134" w:type="dxa"/>
            <w:shd w:val="clear" w:color="auto" w:fill="auto"/>
          </w:tcPr>
          <w:p w:rsidR="000647F2" w:rsidRPr="00604120" w:rsidRDefault="000647F2" w:rsidP="00B972FD">
            <w:pPr>
              <w:jc w:val="center"/>
              <w:rPr>
                <w:rFonts w:ascii="Arial" w:hAnsi="Arial" w:cs="Arial"/>
                <w:b/>
              </w:rPr>
            </w:pPr>
            <w:r w:rsidRPr="00604120">
              <w:rPr>
                <w:rFonts w:ascii="Arial" w:hAnsi="Arial" w:cs="Arial"/>
                <w:b/>
              </w:rPr>
              <w:t>201</w:t>
            </w:r>
            <w:r>
              <w:rPr>
                <w:rFonts w:ascii="Arial" w:hAnsi="Arial" w:cs="Arial"/>
                <w:b/>
              </w:rPr>
              <w:t>4</w:t>
            </w:r>
            <w:r w:rsidR="005C0A98">
              <w:rPr>
                <w:rStyle w:val="af1"/>
                <w:rFonts w:ascii="Arial" w:hAnsi="Arial" w:cs="Arial"/>
                <w:b/>
              </w:rPr>
              <w:footnoteReference w:id="1"/>
            </w:r>
          </w:p>
        </w:tc>
        <w:tc>
          <w:tcPr>
            <w:tcW w:w="1134" w:type="dxa"/>
            <w:shd w:val="clear" w:color="auto" w:fill="auto"/>
          </w:tcPr>
          <w:p w:rsidR="000647F2" w:rsidRPr="00604120" w:rsidRDefault="000647F2" w:rsidP="00B972FD">
            <w:pPr>
              <w:jc w:val="center"/>
              <w:rPr>
                <w:rFonts w:ascii="Arial" w:hAnsi="Arial" w:cs="Arial"/>
                <w:b/>
              </w:rPr>
            </w:pPr>
            <w:r w:rsidRPr="00E432E4">
              <w:rPr>
                <w:rFonts w:ascii="Arial" w:hAnsi="Arial" w:cs="Arial"/>
                <w:b/>
              </w:rPr>
              <w:t>2015</w:t>
            </w:r>
            <w:r w:rsidR="009F702A">
              <w:rPr>
                <w:rStyle w:val="af1"/>
                <w:rFonts w:ascii="Arial" w:hAnsi="Arial" w:cs="Arial"/>
                <w:b/>
              </w:rPr>
              <w:footnoteReference w:id="2"/>
            </w:r>
          </w:p>
        </w:tc>
      </w:tr>
      <w:tr w:rsidR="000647F2" w:rsidRPr="00604120" w:rsidTr="00DA5F17">
        <w:tc>
          <w:tcPr>
            <w:tcW w:w="3260" w:type="dxa"/>
            <w:shd w:val="clear" w:color="auto" w:fill="auto"/>
          </w:tcPr>
          <w:p w:rsidR="000647F2" w:rsidRPr="00604120" w:rsidRDefault="000647F2" w:rsidP="00B972FD">
            <w:pPr>
              <w:rPr>
                <w:rFonts w:ascii="Arial" w:eastAsia="Calibri" w:hAnsi="Arial" w:cs="Arial"/>
                <w:b/>
                <w:bCs/>
              </w:rPr>
            </w:pPr>
            <w:r w:rsidRPr="00604120">
              <w:rPr>
                <w:rFonts w:ascii="Arial" w:eastAsia="Calibri" w:hAnsi="Arial" w:cs="Arial"/>
                <w:b/>
                <w:bCs/>
              </w:rPr>
              <w:t xml:space="preserve">Норма чистой прибыли, % </w:t>
            </w:r>
          </w:p>
          <w:p w:rsidR="000647F2" w:rsidRPr="00604120" w:rsidRDefault="000647F2" w:rsidP="00B972FD">
            <w:pPr>
              <w:rPr>
                <w:rFonts w:ascii="Arial" w:hAnsi="Arial" w:cs="Arial"/>
              </w:rPr>
            </w:pPr>
            <w:r w:rsidRPr="00604120">
              <w:rPr>
                <w:rFonts w:ascii="Arial" w:eastAsia="Calibri" w:hAnsi="Arial" w:cs="Arial"/>
                <w:bCs/>
              </w:rPr>
              <w:t>(Чистая прибыль / Выручка от продаж) x 100</w:t>
            </w:r>
          </w:p>
        </w:tc>
        <w:tc>
          <w:tcPr>
            <w:tcW w:w="1243" w:type="dxa"/>
            <w:shd w:val="clear" w:color="auto" w:fill="auto"/>
            <w:vAlign w:val="center"/>
          </w:tcPr>
          <w:p w:rsidR="000647F2" w:rsidRPr="00DC465C" w:rsidRDefault="000647F2" w:rsidP="00B972FD">
            <w:pPr>
              <w:jc w:val="center"/>
              <w:rPr>
                <w:rFonts w:ascii="Arial" w:hAnsi="Arial" w:cs="Arial"/>
                <w:b/>
                <w:i/>
                <w:lang w:val="en-US"/>
              </w:rPr>
            </w:pPr>
            <w:r w:rsidRPr="00DC465C">
              <w:rPr>
                <w:rFonts w:ascii="Arial" w:hAnsi="Arial" w:cs="Arial"/>
                <w:b/>
                <w:i/>
                <w:lang w:val="en-US"/>
              </w:rPr>
              <w:t>24.72</w:t>
            </w:r>
          </w:p>
        </w:tc>
        <w:tc>
          <w:tcPr>
            <w:tcW w:w="1275" w:type="dxa"/>
            <w:shd w:val="clear" w:color="auto" w:fill="auto"/>
            <w:vAlign w:val="center"/>
          </w:tcPr>
          <w:p w:rsidR="000647F2" w:rsidRPr="00DC465C" w:rsidRDefault="000647F2" w:rsidP="00B972FD">
            <w:pPr>
              <w:jc w:val="center"/>
              <w:rPr>
                <w:rFonts w:ascii="Arial" w:hAnsi="Arial" w:cs="Arial"/>
                <w:b/>
                <w:i/>
                <w:lang w:val="en-US"/>
              </w:rPr>
            </w:pPr>
            <w:r>
              <w:rPr>
                <w:rFonts w:ascii="Arial" w:hAnsi="Arial" w:cs="Arial"/>
                <w:b/>
                <w:i/>
                <w:lang w:val="en-US"/>
              </w:rPr>
              <w:t>30</w:t>
            </w:r>
            <w:r>
              <w:rPr>
                <w:rFonts w:ascii="Arial" w:hAnsi="Arial" w:cs="Arial"/>
                <w:b/>
                <w:i/>
              </w:rPr>
              <w:t>.</w:t>
            </w:r>
            <w:r w:rsidRPr="00DC465C">
              <w:rPr>
                <w:rFonts w:ascii="Arial" w:hAnsi="Arial" w:cs="Arial"/>
                <w:b/>
                <w:i/>
                <w:lang w:val="en-US"/>
              </w:rPr>
              <w:t>84</w:t>
            </w:r>
          </w:p>
        </w:tc>
        <w:tc>
          <w:tcPr>
            <w:tcW w:w="1276" w:type="dxa"/>
            <w:shd w:val="clear" w:color="auto" w:fill="auto"/>
            <w:vAlign w:val="center"/>
          </w:tcPr>
          <w:p w:rsidR="000647F2" w:rsidRPr="00DC465C" w:rsidRDefault="000647F2" w:rsidP="00B972FD">
            <w:pPr>
              <w:jc w:val="center"/>
              <w:rPr>
                <w:rFonts w:ascii="Arial" w:hAnsi="Arial" w:cs="Arial"/>
                <w:b/>
                <w:i/>
              </w:rPr>
            </w:pPr>
            <w:r w:rsidRPr="00DC465C">
              <w:rPr>
                <w:rFonts w:ascii="Arial" w:hAnsi="Arial" w:cs="Arial"/>
                <w:b/>
                <w:i/>
              </w:rPr>
              <w:t>26.68</w:t>
            </w:r>
          </w:p>
        </w:tc>
        <w:tc>
          <w:tcPr>
            <w:tcW w:w="1134" w:type="dxa"/>
            <w:shd w:val="clear" w:color="auto" w:fill="auto"/>
            <w:vAlign w:val="center"/>
          </w:tcPr>
          <w:p w:rsidR="000647F2" w:rsidRPr="00DC465C" w:rsidRDefault="000647F2" w:rsidP="00B972FD">
            <w:pPr>
              <w:jc w:val="center"/>
              <w:rPr>
                <w:rFonts w:ascii="Arial" w:hAnsi="Arial" w:cs="Arial"/>
                <w:b/>
                <w:i/>
              </w:rPr>
            </w:pPr>
            <w:r w:rsidRPr="00DC465C">
              <w:rPr>
                <w:rFonts w:ascii="Arial" w:hAnsi="Arial" w:cs="Arial"/>
                <w:b/>
                <w:i/>
              </w:rPr>
              <w:t>14.65</w:t>
            </w:r>
          </w:p>
        </w:tc>
        <w:tc>
          <w:tcPr>
            <w:tcW w:w="1134" w:type="dxa"/>
            <w:shd w:val="clear" w:color="auto" w:fill="auto"/>
            <w:vAlign w:val="center"/>
          </w:tcPr>
          <w:p w:rsidR="000647F2" w:rsidRPr="00DC465C" w:rsidRDefault="00E432E4" w:rsidP="00B972FD">
            <w:pPr>
              <w:jc w:val="center"/>
              <w:rPr>
                <w:rFonts w:ascii="Arial" w:hAnsi="Arial" w:cs="Arial"/>
                <w:b/>
                <w:i/>
              </w:rPr>
            </w:pPr>
            <w:r w:rsidRPr="00E432E4">
              <w:rPr>
                <w:rFonts w:ascii="Arial" w:hAnsi="Arial" w:cs="Arial"/>
                <w:b/>
                <w:i/>
              </w:rPr>
              <w:t>27.99</w:t>
            </w:r>
          </w:p>
        </w:tc>
      </w:tr>
      <w:tr w:rsidR="000647F2" w:rsidRPr="00604120" w:rsidTr="00DA5F17">
        <w:tc>
          <w:tcPr>
            <w:tcW w:w="3260" w:type="dxa"/>
            <w:shd w:val="clear" w:color="auto" w:fill="auto"/>
          </w:tcPr>
          <w:p w:rsidR="000647F2" w:rsidRPr="00604120" w:rsidRDefault="000647F2" w:rsidP="00B972FD">
            <w:pPr>
              <w:rPr>
                <w:rFonts w:ascii="Arial" w:eastAsia="Calibri" w:hAnsi="Arial" w:cs="Arial"/>
                <w:b/>
                <w:bCs/>
              </w:rPr>
            </w:pPr>
            <w:r w:rsidRPr="00604120">
              <w:rPr>
                <w:rFonts w:ascii="Arial" w:eastAsia="Calibri" w:hAnsi="Arial" w:cs="Arial"/>
                <w:b/>
                <w:bCs/>
              </w:rPr>
              <w:t xml:space="preserve">Коэффициент оборачиваемости активов, раз </w:t>
            </w:r>
          </w:p>
          <w:p w:rsidR="000647F2" w:rsidRPr="00604120" w:rsidRDefault="000647F2" w:rsidP="00B972FD">
            <w:pPr>
              <w:rPr>
                <w:rFonts w:ascii="Arial" w:eastAsia="Calibri" w:hAnsi="Arial" w:cs="Arial"/>
                <w:b/>
                <w:bCs/>
              </w:rPr>
            </w:pPr>
            <w:r w:rsidRPr="00604120">
              <w:rPr>
                <w:rFonts w:ascii="Arial" w:eastAsia="Calibri" w:hAnsi="Arial" w:cs="Arial"/>
                <w:bCs/>
              </w:rPr>
              <w:t>Выручка от продаж / Балансовая стоимость активов</w:t>
            </w:r>
          </w:p>
        </w:tc>
        <w:tc>
          <w:tcPr>
            <w:tcW w:w="1243" w:type="dxa"/>
            <w:shd w:val="clear" w:color="auto" w:fill="auto"/>
            <w:vAlign w:val="center"/>
          </w:tcPr>
          <w:p w:rsidR="000647F2" w:rsidRPr="00DC465C" w:rsidRDefault="000647F2" w:rsidP="00B972FD">
            <w:pPr>
              <w:jc w:val="center"/>
              <w:rPr>
                <w:rFonts w:ascii="Arial" w:hAnsi="Arial" w:cs="Arial"/>
                <w:b/>
                <w:i/>
                <w:lang w:val="en-US"/>
              </w:rPr>
            </w:pPr>
            <w:r w:rsidRPr="00DC465C">
              <w:rPr>
                <w:rFonts w:ascii="Arial" w:hAnsi="Arial" w:cs="Arial"/>
                <w:b/>
                <w:i/>
                <w:lang w:val="en-US"/>
              </w:rPr>
              <w:t>0.41</w:t>
            </w:r>
          </w:p>
        </w:tc>
        <w:tc>
          <w:tcPr>
            <w:tcW w:w="1275" w:type="dxa"/>
            <w:shd w:val="clear" w:color="auto" w:fill="auto"/>
            <w:vAlign w:val="center"/>
          </w:tcPr>
          <w:p w:rsidR="000647F2" w:rsidRPr="00DC465C" w:rsidRDefault="000647F2" w:rsidP="00B972FD">
            <w:pPr>
              <w:jc w:val="center"/>
              <w:rPr>
                <w:rFonts w:ascii="Arial" w:hAnsi="Arial" w:cs="Arial"/>
                <w:b/>
                <w:i/>
                <w:lang w:val="en-US"/>
              </w:rPr>
            </w:pPr>
            <w:r>
              <w:rPr>
                <w:rFonts w:ascii="Arial" w:hAnsi="Arial" w:cs="Arial"/>
                <w:b/>
                <w:i/>
                <w:lang w:val="en-US"/>
              </w:rPr>
              <w:t>0</w:t>
            </w:r>
            <w:r>
              <w:rPr>
                <w:rFonts w:ascii="Arial" w:hAnsi="Arial" w:cs="Arial"/>
                <w:b/>
                <w:i/>
              </w:rPr>
              <w:t>.</w:t>
            </w:r>
            <w:r w:rsidRPr="00DC465C">
              <w:rPr>
                <w:rFonts w:ascii="Arial" w:hAnsi="Arial" w:cs="Arial"/>
                <w:b/>
                <w:i/>
                <w:lang w:val="en-US"/>
              </w:rPr>
              <w:t>27</w:t>
            </w:r>
          </w:p>
        </w:tc>
        <w:tc>
          <w:tcPr>
            <w:tcW w:w="1276" w:type="dxa"/>
            <w:shd w:val="clear" w:color="auto" w:fill="auto"/>
            <w:vAlign w:val="center"/>
          </w:tcPr>
          <w:p w:rsidR="000647F2" w:rsidRPr="00DC465C" w:rsidRDefault="000647F2" w:rsidP="00B972FD">
            <w:pPr>
              <w:jc w:val="center"/>
              <w:rPr>
                <w:rFonts w:ascii="Arial" w:hAnsi="Arial" w:cs="Arial"/>
                <w:b/>
                <w:i/>
              </w:rPr>
            </w:pPr>
            <w:r w:rsidRPr="00DC465C">
              <w:rPr>
                <w:rFonts w:ascii="Arial" w:hAnsi="Arial" w:cs="Arial"/>
                <w:b/>
                <w:i/>
              </w:rPr>
              <w:t>0.23</w:t>
            </w:r>
          </w:p>
        </w:tc>
        <w:tc>
          <w:tcPr>
            <w:tcW w:w="1134" w:type="dxa"/>
            <w:shd w:val="clear" w:color="auto" w:fill="auto"/>
            <w:vAlign w:val="center"/>
          </w:tcPr>
          <w:p w:rsidR="000647F2" w:rsidRPr="00DC465C" w:rsidRDefault="000647F2" w:rsidP="00B972FD">
            <w:pPr>
              <w:jc w:val="center"/>
              <w:rPr>
                <w:rFonts w:ascii="Arial" w:hAnsi="Arial" w:cs="Arial"/>
                <w:b/>
                <w:i/>
              </w:rPr>
            </w:pPr>
            <w:r w:rsidRPr="00DC465C">
              <w:rPr>
                <w:rFonts w:ascii="Arial" w:hAnsi="Arial" w:cs="Arial"/>
                <w:b/>
                <w:i/>
              </w:rPr>
              <w:t>0.27</w:t>
            </w:r>
          </w:p>
        </w:tc>
        <w:tc>
          <w:tcPr>
            <w:tcW w:w="1134" w:type="dxa"/>
            <w:shd w:val="clear" w:color="auto" w:fill="auto"/>
            <w:vAlign w:val="center"/>
          </w:tcPr>
          <w:p w:rsidR="000647F2" w:rsidRPr="00DC465C" w:rsidRDefault="00E432E4" w:rsidP="00B972FD">
            <w:pPr>
              <w:jc w:val="center"/>
              <w:rPr>
                <w:rFonts w:ascii="Arial" w:hAnsi="Arial" w:cs="Arial"/>
                <w:b/>
                <w:i/>
              </w:rPr>
            </w:pPr>
            <w:r w:rsidRPr="00E432E4">
              <w:rPr>
                <w:rFonts w:ascii="Arial" w:hAnsi="Arial" w:cs="Arial"/>
                <w:b/>
                <w:i/>
              </w:rPr>
              <w:t>0.29</w:t>
            </w:r>
          </w:p>
        </w:tc>
      </w:tr>
      <w:tr w:rsidR="000647F2" w:rsidRPr="00604120" w:rsidTr="00DA5F17">
        <w:tc>
          <w:tcPr>
            <w:tcW w:w="3260" w:type="dxa"/>
            <w:shd w:val="clear" w:color="auto" w:fill="auto"/>
          </w:tcPr>
          <w:p w:rsidR="000647F2" w:rsidRPr="00604120" w:rsidRDefault="000647F2" w:rsidP="00B972FD">
            <w:pPr>
              <w:rPr>
                <w:rFonts w:ascii="Arial" w:eastAsia="Calibri" w:hAnsi="Arial" w:cs="Arial"/>
                <w:b/>
                <w:bCs/>
              </w:rPr>
            </w:pPr>
            <w:r w:rsidRPr="00604120">
              <w:rPr>
                <w:rFonts w:ascii="Arial" w:eastAsia="Calibri" w:hAnsi="Arial" w:cs="Arial"/>
                <w:b/>
                <w:bCs/>
              </w:rPr>
              <w:t xml:space="preserve">Рентабельность активов, % </w:t>
            </w:r>
          </w:p>
          <w:p w:rsidR="000647F2" w:rsidRPr="00604120" w:rsidRDefault="000647F2" w:rsidP="00B972FD">
            <w:pPr>
              <w:rPr>
                <w:rFonts w:ascii="Arial" w:hAnsi="Arial" w:cs="Arial"/>
                <w:i/>
              </w:rPr>
            </w:pPr>
            <w:r w:rsidRPr="00604120">
              <w:rPr>
                <w:rFonts w:ascii="Arial" w:eastAsia="Calibri" w:hAnsi="Arial" w:cs="Arial"/>
                <w:bCs/>
              </w:rPr>
              <w:t>(Чистая прибыль / Балансовая стоимость активов) x 100</w:t>
            </w:r>
          </w:p>
        </w:tc>
        <w:tc>
          <w:tcPr>
            <w:tcW w:w="1243" w:type="dxa"/>
            <w:shd w:val="clear" w:color="auto" w:fill="auto"/>
            <w:vAlign w:val="center"/>
          </w:tcPr>
          <w:p w:rsidR="000647F2" w:rsidRPr="00DC465C" w:rsidRDefault="000647F2" w:rsidP="00B972FD">
            <w:pPr>
              <w:jc w:val="center"/>
              <w:rPr>
                <w:rFonts w:ascii="Arial" w:hAnsi="Arial" w:cs="Arial"/>
                <w:b/>
                <w:i/>
                <w:lang w:val="en-US"/>
              </w:rPr>
            </w:pPr>
            <w:r w:rsidRPr="00DC465C">
              <w:rPr>
                <w:rFonts w:ascii="Arial" w:hAnsi="Arial" w:cs="Arial"/>
                <w:b/>
                <w:i/>
                <w:lang w:val="en-US"/>
              </w:rPr>
              <w:t>10.08</w:t>
            </w:r>
          </w:p>
        </w:tc>
        <w:tc>
          <w:tcPr>
            <w:tcW w:w="1275" w:type="dxa"/>
            <w:shd w:val="clear" w:color="auto" w:fill="auto"/>
            <w:vAlign w:val="center"/>
          </w:tcPr>
          <w:p w:rsidR="000647F2" w:rsidRPr="00DC465C" w:rsidRDefault="000647F2" w:rsidP="00B972FD">
            <w:pPr>
              <w:jc w:val="center"/>
              <w:rPr>
                <w:rFonts w:ascii="Arial" w:hAnsi="Arial" w:cs="Arial"/>
                <w:b/>
                <w:i/>
                <w:lang w:val="en-US"/>
              </w:rPr>
            </w:pPr>
            <w:r>
              <w:rPr>
                <w:rFonts w:ascii="Arial" w:hAnsi="Arial" w:cs="Arial"/>
                <w:b/>
                <w:i/>
                <w:lang w:val="en-US"/>
              </w:rPr>
              <w:t>8</w:t>
            </w:r>
            <w:r>
              <w:rPr>
                <w:rFonts w:ascii="Arial" w:hAnsi="Arial" w:cs="Arial"/>
                <w:b/>
                <w:i/>
              </w:rPr>
              <w:t>.</w:t>
            </w:r>
            <w:r w:rsidRPr="00DC465C">
              <w:rPr>
                <w:rFonts w:ascii="Arial" w:hAnsi="Arial" w:cs="Arial"/>
                <w:b/>
                <w:i/>
                <w:lang w:val="en-US"/>
              </w:rPr>
              <w:t>43</w:t>
            </w:r>
          </w:p>
        </w:tc>
        <w:tc>
          <w:tcPr>
            <w:tcW w:w="1276" w:type="dxa"/>
            <w:shd w:val="clear" w:color="auto" w:fill="auto"/>
            <w:vAlign w:val="center"/>
          </w:tcPr>
          <w:p w:rsidR="000647F2" w:rsidRPr="00DC465C" w:rsidRDefault="000647F2" w:rsidP="00B972FD">
            <w:pPr>
              <w:jc w:val="center"/>
              <w:rPr>
                <w:rFonts w:ascii="Arial" w:hAnsi="Arial" w:cs="Arial"/>
                <w:b/>
                <w:i/>
              </w:rPr>
            </w:pPr>
            <w:r w:rsidRPr="00DC465C">
              <w:rPr>
                <w:rFonts w:ascii="Arial" w:hAnsi="Arial" w:cs="Arial"/>
                <w:b/>
                <w:i/>
              </w:rPr>
              <w:t>6.19</w:t>
            </w:r>
          </w:p>
        </w:tc>
        <w:tc>
          <w:tcPr>
            <w:tcW w:w="1134" w:type="dxa"/>
            <w:shd w:val="clear" w:color="auto" w:fill="auto"/>
            <w:vAlign w:val="center"/>
          </w:tcPr>
          <w:p w:rsidR="000647F2" w:rsidRPr="00DC465C" w:rsidRDefault="000647F2" w:rsidP="00B972FD">
            <w:pPr>
              <w:jc w:val="center"/>
              <w:rPr>
                <w:rFonts w:ascii="Arial" w:hAnsi="Arial" w:cs="Arial"/>
                <w:b/>
                <w:i/>
              </w:rPr>
            </w:pPr>
            <w:r w:rsidRPr="00DC465C">
              <w:rPr>
                <w:rFonts w:ascii="Arial" w:hAnsi="Arial" w:cs="Arial"/>
                <w:b/>
                <w:i/>
              </w:rPr>
              <w:t>3.96</w:t>
            </w:r>
          </w:p>
        </w:tc>
        <w:tc>
          <w:tcPr>
            <w:tcW w:w="1134" w:type="dxa"/>
            <w:shd w:val="clear" w:color="auto" w:fill="auto"/>
            <w:vAlign w:val="center"/>
          </w:tcPr>
          <w:p w:rsidR="000647F2" w:rsidRPr="00DC465C" w:rsidRDefault="00E432E4" w:rsidP="00B972FD">
            <w:pPr>
              <w:jc w:val="center"/>
              <w:rPr>
                <w:rFonts w:ascii="Arial" w:hAnsi="Arial" w:cs="Arial"/>
                <w:b/>
                <w:i/>
              </w:rPr>
            </w:pPr>
            <w:r w:rsidRPr="00E432E4">
              <w:rPr>
                <w:rFonts w:ascii="Arial" w:hAnsi="Arial" w:cs="Arial"/>
                <w:b/>
                <w:i/>
              </w:rPr>
              <w:t>8.26</w:t>
            </w:r>
          </w:p>
        </w:tc>
      </w:tr>
      <w:tr w:rsidR="000647F2" w:rsidRPr="00604120" w:rsidTr="00DA5F17">
        <w:tc>
          <w:tcPr>
            <w:tcW w:w="3260" w:type="dxa"/>
            <w:shd w:val="clear" w:color="auto" w:fill="auto"/>
          </w:tcPr>
          <w:p w:rsidR="000647F2" w:rsidRPr="00604120" w:rsidRDefault="000647F2" w:rsidP="00B972FD">
            <w:pPr>
              <w:rPr>
                <w:rFonts w:ascii="Arial" w:hAnsi="Arial" w:cs="Arial"/>
                <w:i/>
              </w:rPr>
            </w:pPr>
            <w:r w:rsidRPr="00604120">
              <w:rPr>
                <w:rFonts w:ascii="Arial" w:eastAsia="Calibri" w:hAnsi="Arial" w:cs="Arial"/>
                <w:b/>
                <w:bCs/>
              </w:rPr>
              <w:t xml:space="preserve">Рентабельность собственного капитала, % </w:t>
            </w:r>
            <w:r w:rsidRPr="00604120">
              <w:rPr>
                <w:rFonts w:ascii="Arial" w:eastAsia="Calibri" w:hAnsi="Arial" w:cs="Arial"/>
                <w:bCs/>
              </w:rPr>
              <w:t>(Чистая прибыль / Капитал и резервы) x 100</w:t>
            </w:r>
          </w:p>
        </w:tc>
        <w:tc>
          <w:tcPr>
            <w:tcW w:w="1243" w:type="dxa"/>
            <w:shd w:val="clear" w:color="auto" w:fill="auto"/>
            <w:vAlign w:val="center"/>
          </w:tcPr>
          <w:p w:rsidR="000647F2" w:rsidRPr="00DC465C" w:rsidRDefault="000647F2" w:rsidP="00B972FD">
            <w:pPr>
              <w:jc w:val="center"/>
              <w:rPr>
                <w:rFonts w:ascii="Arial" w:hAnsi="Arial" w:cs="Arial"/>
                <w:b/>
                <w:i/>
                <w:lang w:val="en-US"/>
              </w:rPr>
            </w:pPr>
            <w:r w:rsidRPr="00DC465C">
              <w:rPr>
                <w:rFonts w:ascii="Arial" w:hAnsi="Arial" w:cs="Arial"/>
                <w:b/>
                <w:i/>
                <w:lang w:val="en-US"/>
              </w:rPr>
              <w:t>38.17</w:t>
            </w:r>
          </w:p>
        </w:tc>
        <w:tc>
          <w:tcPr>
            <w:tcW w:w="1275" w:type="dxa"/>
            <w:shd w:val="clear" w:color="auto" w:fill="auto"/>
            <w:vAlign w:val="center"/>
          </w:tcPr>
          <w:p w:rsidR="000647F2" w:rsidRPr="00DC465C" w:rsidRDefault="000647F2" w:rsidP="00B972FD">
            <w:pPr>
              <w:jc w:val="center"/>
              <w:rPr>
                <w:rFonts w:ascii="Arial" w:hAnsi="Arial" w:cs="Arial"/>
                <w:b/>
                <w:i/>
                <w:lang w:val="en-US"/>
              </w:rPr>
            </w:pPr>
            <w:r>
              <w:rPr>
                <w:rFonts w:ascii="Arial" w:hAnsi="Arial" w:cs="Arial"/>
                <w:b/>
                <w:i/>
                <w:lang w:val="en-US"/>
              </w:rPr>
              <w:t>25</w:t>
            </w:r>
            <w:r>
              <w:rPr>
                <w:rFonts w:ascii="Arial" w:hAnsi="Arial" w:cs="Arial"/>
                <w:b/>
                <w:i/>
              </w:rPr>
              <w:t>.</w:t>
            </w:r>
            <w:r w:rsidRPr="00DC465C">
              <w:rPr>
                <w:rFonts w:ascii="Arial" w:hAnsi="Arial" w:cs="Arial"/>
                <w:b/>
                <w:i/>
                <w:lang w:val="en-US"/>
              </w:rPr>
              <w:t>5</w:t>
            </w:r>
          </w:p>
        </w:tc>
        <w:tc>
          <w:tcPr>
            <w:tcW w:w="1276" w:type="dxa"/>
            <w:shd w:val="clear" w:color="auto" w:fill="auto"/>
            <w:vAlign w:val="center"/>
          </w:tcPr>
          <w:p w:rsidR="000647F2" w:rsidRPr="00DC465C" w:rsidRDefault="000647F2" w:rsidP="00B972FD">
            <w:pPr>
              <w:jc w:val="center"/>
              <w:rPr>
                <w:rFonts w:ascii="Arial" w:hAnsi="Arial" w:cs="Arial"/>
                <w:b/>
                <w:i/>
              </w:rPr>
            </w:pPr>
            <w:r w:rsidRPr="00DC465C">
              <w:rPr>
                <w:rFonts w:ascii="Arial" w:hAnsi="Arial" w:cs="Arial"/>
                <w:b/>
                <w:i/>
              </w:rPr>
              <w:t>18.68</w:t>
            </w:r>
          </w:p>
        </w:tc>
        <w:tc>
          <w:tcPr>
            <w:tcW w:w="1134" w:type="dxa"/>
            <w:shd w:val="clear" w:color="auto" w:fill="auto"/>
            <w:vAlign w:val="center"/>
          </w:tcPr>
          <w:p w:rsidR="000647F2" w:rsidRPr="00DC465C" w:rsidRDefault="000647F2" w:rsidP="00B972FD">
            <w:pPr>
              <w:jc w:val="center"/>
              <w:rPr>
                <w:rFonts w:ascii="Arial" w:hAnsi="Arial" w:cs="Arial"/>
                <w:b/>
                <w:i/>
              </w:rPr>
            </w:pPr>
            <w:r w:rsidRPr="00DC465C">
              <w:rPr>
                <w:rFonts w:ascii="Arial" w:hAnsi="Arial" w:cs="Arial"/>
                <w:b/>
                <w:i/>
              </w:rPr>
              <w:t>12.72</w:t>
            </w:r>
          </w:p>
        </w:tc>
        <w:tc>
          <w:tcPr>
            <w:tcW w:w="1134" w:type="dxa"/>
            <w:shd w:val="clear" w:color="auto" w:fill="auto"/>
            <w:vAlign w:val="center"/>
          </w:tcPr>
          <w:p w:rsidR="000647F2" w:rsidRPr="00DC465C" w:rsidRDefault="00E432E4" w:rsidP="00B972FD">
            <w:pPr>
              <w:jc w:val="center"/>
              <w:rPr>
                <w:rFonts w:ascii="Arial" w:hAnsi="Arial" w:cs="Arial"/>
                <w:b/>
                <w:i/>
              </w:rPr>
            </w:pPr>
            <w:r w:rsidRPr="00E432E4">
              <w:rPr>
                <w:rFonts w:ascii="Arial" w:hAnsi="Arial" w:cs="Arial"/>
                <w:b/>
                <w:i/>
              </w:rPr>
              <w:t>20.93</w:t>
            </w:r>
          </w:p>
        </w:tc>
      </w:tr>
      <w:tr w:rsidR="000647F2" w:rsidRPr="00604120" w:rsidTr="00DA5F17">
        <w:tc>
          <w:tcPr>
            <w:tcW w:w="3260" w:type="dxa"/>
            <w:shd w:val="clear" w:color="auto" w:fill="auto"/>
          </w:tcPr>
          <w:p w:rsidR="000647F2" w:rsidRPr="00604120" w:rsidRDefault="000647F2" w:rsidP="00B972FD">
            <w:pPr>
              <w:rPr>
                <w:rFonts w:ascii="Arial" w:eastAsia="Calibri" w:hAnsi="Arial" w:cs="Arial"/>
                <w:b/>
                <w:bCs/>
              </w:rPr>
            </w:pPr>
            <w:r w:rsidRPr="00604120">
              <w:rPr>
                <w:rFonts w:ascii="Arial" w:eastAsia="Calibri" w:hAnsi="Arial" w:cs="Arial"/>
                <w:b/>
                <w:bCs/>
              </w:rPr>
              <w:t xml:space="preserve">Сумма непокрытого убытка на отчетную дату, тыс. руб. </w:t>
            </w:r>
          </w:p>
          <w:p w:rsidR="000647F2" w:rsidRPr="00604120" w:rsidRDefault="000647F2" w:rsidP="00B972FD">
            <w:pPr>
              <w:rPr>
                <w:rFonts w:ascii="Arial" w:eastAsia="Calibri" w:hAnsi="Arial" w:cs="Arial"/>
                <w:b/>
                <w:bCs/>
              </w:rPr>
            </w:pPr>
            <w:r w:rsidRPr="00604120">
              <w:rPr>
                <w:rFonts w:ascii="Arial" w:eastAsia="Calibri" w:hAnsi="Arial" w:cs="Arial"/>
                <w:bCs/>
              </w:rPr>
              <w:t>Непокрытый убыток прошлых лет + непокрытый убыток отчетного года</w:t>
            </w:r>
          </w:p>
        </w:tc>
        <w:tc>
          <w:tcPr>
            <w:tcW w:w="1243" w:type="dxa"/>
            <w:shd w:val="clear" w:color="auto" w:fill="auto"/>
            <w:vAlign w:val="center"/>
          </w:tcPr>
          <w:p w:rsidR="000647F2" w:rsidRPr="00DC465C" w:rsidRDefault="000647F2" w:rsidP="00B972FD">
            <w:pPr>
              <w:jc w:val="center"/>
              <w:rPr>
                <w:rFonts w:ascii="Arial" w:hAnsi="Arial" w:cs="Arial"/>
                <w:b/>
                <w:i/>
                <w:lang w:val="en-US"/>
              </w:rPr>
            </w:pPr>
            <w:r w:rsidRPr="00DC465C">
              <w:rPr>
                <w:rFonts w:ascii="Arial" w:hAnsi="Arial" w:cs="Arial"/>
                <w:b/>
                <w:i/>
                <w:lang w:val="en-US"/>
              </w:rPr>
              <w:t>0</w:t>
            </w:r>
          </w:p>
        </w:tc>
        <w:tc>
          <w:tcPr>
            <w:tcW w:w="1275" w:type="dxa"/>
            <w:shd w:val="clear" w:color="auto" w:fill="auto"/>
            <w:vAlign w:val="center"/>
          </w:tcPr>
          <w:p w:rsidR="000647F2" w:rsidRPr="00DC465C" w:rsidRDefault="000647F2" w:rsidP="00B972FD">
            <w:pPr>
              <w:jc w:val="center"/>
              <w:rPr>
                <w:rFonts w:ascii="Arial" w:hAnsi="Arial" w:cs="Arial"/>
                <w:b/>
                <w:i/>
                <w:lang w:val="en-US"/>
              </w:rPr>
            </w:pPr>
            <w:r w:rsidRPr="00DC465C">
              <w:rPr>
                <w:rFonts w:ascii="Arial" w:hAnsi="Arial" w:cs="Arial"/>
                <w:b/>
                <w:i/>
                <w:lang w:val="en-US"/>
              </w:rPr>
              <w:t>0</w:t>
            </w:r>
          </w:p>
        </w:tc>
        <w:tc>
          <w:tcPr>
            <w:tcW w:w="1276" w:type="dxa"/>
            <w:shd w:val="clear" w:color="auto" w:fill="auto"/>
            <w:vAlign w:val="center"/>
          </w:tcPr>
          <w:p w:rsidR="000647F2" w:rsidRPr="00DC465C" w:rsidRDefault="000647F2" w:rsidP="00B972FD">
            <w:pPr>
              <w:jc w:val="center"/>
              <w:rPr>
                <w:rFonts w:ascii="Arial" w:hAnsi="Arial" w:cs="Arial"/>
                <w:b/>
                <w:i/>
              </w:rPr>
            </w:pPr>
            <w:r w:rsidRPr="00DC465C">
              <w:rPr>
                <w:rFonts w:ascii="Arial" w:hAnsi="Arial" w:cs="Arial"/>
                <w:b/>
                <w:i/>
              </w:rPr>
              <w:t>0</w:t>
            </w:r>
          </w:p>
        </w:tc>
        <w:tc>
          <w:tcPr>
            <w:tcW w:w="1134" w:type="dxa"/>
            <w:shd w:val="clear" w:color="auto" w:fill="auto"/>
            <w:vAlign w:val="center"/>
          </w:tcPr>
          <w:p w:rsidR="000647F2" w:rsidRPr="00DC465C" w:rsidRDefault="000647F2" w:rsidP="00B972FD">
            <w:pPr>
              <w:jc w:val="center"/>
              <w:rPr>
                <w:rFonts w:ascii="Arial" w:hAnsi="Arial" w:cs="Arial"/>
                <w:b/>
                <w:i/>
              </w:rPr>
            </w:pPr>
            <w:r w:rsidRPr="00DC465C">
              <w:rPr>
                <w:rFonts w:ascii="Arial" w:hAnsi="Arial" w:cs="Arial"/>
                <w:b/>
                <w:i/>
              </w:rPr>
              <w:t>0</w:t>
            </w:r>
          </w:p>
        </w:tc>
        <w:tc>
          <w:tcPr>
            <w:tcW w:w="1134" w:type="dxa"/>
            <w:shd w:val="clear" w:color="auto" w:fill="auto"/>
            <w:vAlign w:val="center"/>
          </w:tcPr>
          <w:p w:rsidR="000647F2" w:rsidRPr="00E432E4" w:rsidRDefault="00E432E4" w:rsidP="00B972FD">
            <w:pPr>
              <w:jc w:val="center"/>
              <w:rPr>
                <w:rFonts w:ascii="Arial" w:hAnsi="Arial" w:cs="Arial"/>
                <w:b/>
                <w:i/>
                <w:lang w:val="en-US"/>
              </w:rPr>
            </w:pPr>
            <w:r>
              <w:rPr>
                <w:rFonts w:ascii="Arial" w:hAnsi="Arial" w:cs="Arial"/>
                <w:b/>
                <w:i/>
                <w:lang w:val="en-US"/>
              </w:rPr>
              <w:t>0</w:t>
            </w:r>
          </w:p>
        </w:tc>
      </w:tr>
      <w:tr w:rsidR="000647F2" w:rsidRPr="00604120" w:rsidTr="00DA5F17">
        <w:tc>
          <w:tcPr>
            <w:tcW w:w="3260" w:type="dxa"/>
            <w:shd w:val="clear" w:color="auto" w:fill="auto"/>
          </w:tcPr>
          <w:p w:rsidR="000647F2" w:rsidRPr="00604120" w:rsidRDefault="000647F2" w:rsidP="00B972FD">
            <w:pPr>
              <w:rPr>
                <w:rFonts w:ascii="Arial" w:eastAsia="Calibri" w:hAnsi="Arial" w:cs="Arial"/>
                <w:b/>
                <w:bCs/>
              </w:rPr>
            </w:pPr>
            <w:r w:rsidRPr="00604120">
              <w:rPr>
                <w:rFonts w:ascii="Arial" w:eastAsia="Calibri" w:hAnsi="Arial" w:cs="Arial"/>
                <w:b/>
                <w:bCs/>
              </w:rPr>
              <w:t xml:space="preserve">Соотношение непокрытого убытка на отчетную дату и балансовой стоимости активов, % </w:t>
            </w:r>
          </w:p>
          <w:p w:rsidR="000647F2" w:rsidRPr="00604120" w:rsidRDefault="000647F2" w:rsidP="00B972FD">
            <w:pPr>
              <w:rPr>
                <w:rFonts w:ascii="Arial" w:eastAsia="Calibri" w:hAnsi="Arial" w:cs="Arial"/>
                <w:b/>
                <w:bCs/>
              </w:rPr>
            </w:pPr>
            <w:r w:rsidRPr="00604120">
              <w:rPr>
                <w:rFonts w:ascii="Arial" w:eastAsia="Calibri" w:hAnsi="Arial" w:cs="Arial"/>
                <w:bCs/>
              </w:rPr>
              <w:t>(Сумма непокрытого убытка на отчетную дату / Балансовая стоимость активов) x 100</w:t>
            </w:r>
          </w:p>
        </w:tc>
        <w:tc>
          <w:tcPr>
            <w:tcW w:w="1243" w:type="dxa"/>
            <w:shd w:val="clear" w:color="auto" w:fill="auto"/>
            <w:vAlign w:val="center"/>
          </w:tcPr>
          <w:p w:rsidR="000647F2" w:rsidRPr="00DC465C" w:rsidRDefault="000647F2" w:rsidP="00B972FD">
            <w:pPr>
              <w:jc w:val="center"/>
              <w:rPr>
                <w:rFonts w:ascii="Arial" w:hAnsi="Arial" w:cs="Arial"/>
                <w:b/>
                <w:i/>
                <w:lang w:val="en-US"/>
              </w:rPr>
            </w:pPr>
            <w:r w:rsidRPr="00DC465C">
              <w:rPr>
                <w:rFonts w:ascii="Arial" w:hAnsi="Arial" w:cs="Arial"/>
                <w:b/>
                <w:i/>
                <w:lang w:val="en-US"/>
              </w:rPr>
              <w:t>0</w:t>
            </w:r>
          </w:p>
        </w:tc>
        <w:tc>
          <w:tcPr>
            <w:tcW w:w="1275" w:type="dxa"/>
            <w:shd w:val="clear" w:color="auto" w:fill="auto"/>
            <w:vAlign w:val="center"/>
          </w:tcPr>
          <w:p w:rsidR="000647F2" w:rsidRPr="00DC465C" w:rsidRDefault="000647F2" w:rsidP="00B972FD">
            <w:pPr>
              <w:jc w:val="center"/>
              <w:rPr>
                <w:rFonts w:ascii="Arial" w:hAnsi="Arial" w:cs="Arial"/>
                <w:b/>
                <w:i/>
                <w:lang w:val="en-US"/>
              </w:rPr>
            </w:pPr>
            <w:r w:rsidRPr="00DC465C">
              <w:rPr>
                <w:rFonts w:ascii="Arial" w:hAnsi="Arial" w:cs="Arial"/>
                <w:b/>
                <w:i/>
                <w:lang w:val="en-US"/>
              </w:rPr>
              <w:t>0</w:t>
            </w:r>
          </w:p>
        </w:tc>
        <w:tc>
          <w:tcPr>
            <w:tcW w:w="1276" w:type="dxa"/>
            <w:shd w:val="clear" w:color="auto" w:fill="auto"/>
            <w:vAlign w:val="center"/>
          </w:tcPr>
          <w:p w:rsidR="000647F2" w:rsidRPr="00DC465C" w:rsidRDefault="000647F2" w:rsidP="00B972FD">
            <w:pPr>
              <w:jc w:val="center"/>
              <w:rPr>
                <w:rFonts w:ascii="Arial" w:hAnsi="Arial" w:cs="Arial"/>
                <w:b/>
                <w:i/>
              </w:rPr>
            </w:pPr>
            <w:r w:rsidRPr="00DC465C">
              <w:rPr>
                <w:rFonts w:ascii="Arial" w:hAnsi="Arial" w:cs="Arial"/>
                <w:b/>
                <w:i/>
              </w:rPr>
              <w:t>0</w:t>
            </w:r>
          </w:p>
        </w:tc>
        <w:tc>
          <w:tcPr>
            <w:tcW w:w="1134" w:type="dxa"/>
            <w:shd w:val="clear" w:color="auto" w:fill="auto"/>
            <w:vAlign w:val="center"/>
          </w:tcPr>
          <w:p w:rsidR="000647F2" w:rsidRPr="00DC465C" w:rsidRDefault="000647F2" w:rsidP="00B972FD">
            <w:pPr>
              <w:jc w:val="center"/>
              <w:rPr>
                <w:rFonts w:ascii="Arial" w:hAnsi="Arial" w:cs="Arial"/>
                <w:b/>
                <w:i/>
              </w:rPr>
            </w:pPr>
            <w:r w:rsidRPr="00DC465C">
              <w:rPr>
                <w:rFonts w:ascii="Arial" w:hAnsi="Arial" w:cs="Arial"/>
                <w:b/>
                <w:i/>
              </w:rPr>
              <w:t>0</w:t>
            </w:r>
          </w:p>
        </w:tc>
        <w:tc>
          <w:tcPr>
            <w:tcW w:w="1134" w:type="dxa"/>
            <w:shd w:val="clear" w:color="auto" w:fill="auto"/>
            <w:vAlign w:val="center"/>
          </w:tcPr>
          <w:p w:rsidR="000647F2" w:rsidRPr="00E432E4" w:rsidRDefault="00E432E4" w:rsidP="00B972FD">
            <w:pPr>
              <w:jc w:val="center"/>
              <w:rPr>
                <w:rFonts w:ascii="Arial" w:hAnsi="Arial" w:cs="Arial"/>
                <w:b/>
                <w:i/>
                <w:lang w:val="en-US"/>
              </w:rPr>
            </w:pPr>
            <w:r>
              <w:rPr>
                <w:rFonts w:ascii="Arial" w:hAnsi="Arial" w:cs="Arial"/>
                <w:b/>
                <w:i/>
                <w:lang w:val="en-US"/>
              </w:rPr>
              <w:t>0</w:t>
            </w:r>
          </w:p>
        </w:tc>
      </w:tr>
    </w:tbl>
    <w:p w:rsidR="000647F2" w:rsidRPr="00604120" w:rsidRDefault="000647F2" w:rsidP="000647F2">
      <w:pPr>
        <w:ind w:firstLine="540"/>
        <w:rPr>
          <w:rFonts w:eastAsia="Calibri"/>
        </w:rPr>
      </w:pPr>
    </w:p>
    <w:p w:rsidR="000647F2" w:rsidRPr="00DD69E4" w:rsidRDefault="000647F2" w:rsidP="006745BA">
      <w:pPr>
        <w:ind w:firstLine="567"/>
        <w:jc w:val="both"/>
        <w:rPr>
          <w:rFonts w:ascii="Arial" w:hAnsi="Arial" w:cs="Arial"/>
          <w:b/>
          <w:i/>
        </w:rPr>
      </w:pPr>
      <w:r w:rsidRPr="00DD69E4">
        <w:rPr>
          <w:rFonts w:ascii="Arial" w:hAnsi="Arial" w:cs="Arial"/>
          <w:b/>
          <w:i/>
        </w:rPr>
        <w:t xml:space="preserve">Для расчета приведенных показателей </w:t>
      </w:r>
      <w:r w:rsidR="000B2EF1">
        <w:rPr>
          <w:rFonts w:ascii="Arial" w:hAnsi="Arial" w:cs="Arial"/>
          <w:b/>
          <w:i/>
        </w:rPr>
        <w:t xml:space="preserve">за каждый из пяти завершенных финансовых лет </w:t>
      </w:r>
      <w:r w:rsidRPr="00DD69E4">
        <w:rPr>
          <w:rFonts w:ascii="Arial" w:hAnsi="Arial" w:cs="Arial"/>
          <w:b/>
          <w:i/>
        </w:rPr>
        <w:t xml:space="preserve">использовалась методика, рекомендованная </w:t>
      </w:r>
      <w:r w:rsidR="00E06C80">
        <w:rPr>
          <w:rFonts w:ascii="Arial" w:hAnsi="Arial" w:cs="Arial"/>
          <w:b/>
          <w:i/>
        </w:rPr>
        <w:t>Положением о раскрытии</w:t>
      </w:r>
      <w:r w:rsidRPr="00DD69E4">
        <w:rPr>
          <w:rFonts w:ascii="Arial" w:hAnsi="Arial" w:cs="Arial"/>
          <w:b/>
          <w:i/>
        </w:rPr>
        <w:t xml:space="preserve">, исходя из данных </w:t>
      </w:r>
      <w:r w:rsidR="000B2EF1">
        <w:rPr>
          <w:rFonts w:ascii="Arial" w:hAnsi="Arial" w:cs="Arial"/>
          <w:b/>
          <w:i/>
        </w:rPr>
        <w:t xml:space="preserve">аудированной </w:t>
      </w:r>
      <w:r w:rsidRPr="00DD69E4">
        <w:rPr>
          <w:rFonts w:ascii="Arial" w:hAnsi="Arial" w:cs="Arial"/>
          <w:b/>
          <w:i/>
        </w:rPr>
        <w:t>бухгалтерской отчетности Эмитента</w:t>
      </w:r>
      <w:r w:rsidR="000B2EF1">
        <w:rPr>
          <w:rFonts w:ascii="Arial" w:hAnsi="Arial" w:cs="Arial"/>
          <w:b/>
          <w:i/>
        </w:rPr>
        <w:t xml:space="preserve"> за соответствующие отчётные годы</w:t>
      </w:r>
      <w:r w:rsidRPr="00DD69E4">
        <w:rPr>
          <w:rFonts w:ascii="Arial" w:hAnsi="Arial" w:cs="Arial"/>
          <w:b/>
          <w:i/>
        </w:rPr>
        <w:t xml:space="preserve">, составленной по </w:t>
      </w:r>
      <w:r w:rsidR="0081789B">
        <w:rPr>
          <w:rFonts w:ascii="Arial" w:hAnsi="Arial" w:cs="Arial"/>
          <w:b/>
          <w:i/>
        </w:rPr>
        <w:t>Российским стандартам бухгалтерской отчетности (</w:t>
      </w:r>
      <w:r w:rsidRPr="00DD69E4">
        <w:rPr>
          <w:rFonts w:ascii="Arial" w:hAnsi="Arial" w:cs="Arial"/>
          <w:b/>
          <w:i/>
        </w:rPr>
        <w:t>РСБУ</w:t>
      </w:r>
      <w:r w:rsidR="0081789B">
        <w:rPr>
          <w:rFonts w:ascii="Arial" w:hAnsi="Arial" w:cs="Arial"/>
          <w:b/>
          <w:i/>
        </w:rPr>
        <w:t>)</w:t>
      </w:r>
      <w:r w:rsidRPr="00DD69E4">
        <w:rPr>
          <w:rFonts w:ascii="Arial" w:hAnsi="Arial" w:cs="Arial"/>
          <w:b/>
          <w:i/>
        </w:rPr>
        <w:t>.</w:t>
      </w:r>
    </w:p>
    <w:p w:rsidR="000B2EF1" w:rsidRDefault="000B2EF1" w:rsidP="006745BA">
      <w:pPr>
        <w:ind w:firstLine="567"/>
        <w:jc w:val="both"/>
        <w:rPr>
          <w:rFonts w:ascii="Arial" w:hAnsi="Arial" w:cs="Arial"/>
          <w:b/>
          <w:i/>
        </w:rPr>
      </w:pPr>
      <w:r w:rsidRPr="004D7349">
        <w:rPr>
          <w:rFonts w:ascii="Arial" w:hAnsi="Arial" w:cs="Arial"/>
          <w:b/>
          <w:i/>
        </w:rPr>
        <w:t>Экономический а</w:t>
      </w:r>
      <w:r>
        <w:rPr>
          <w:rFonts w:ascii="Arial" w:hAnsi="Arial" w:cs="Arial"/>
          <w:b/>
          <w:i/>
        </w:rPr>
        <w:t>нализ прибыльности/убыточности Эм</w:t>
      </w:r>
      <w:r w:rsidRPr="004D7349">
        <w:rPr>
          <w:rFonts w:ascii="Arial" w:hAnsi="Arial" w:cs="Arial"/>
          <w:b/>
          <w:i/>
        </w:rPr>
        <w:t xml:space="preserve">итента </w:t>
      </w:r>
      <w:r>
        <w:rPr>
          <w:rFonts w:ascii="Arial" w:hAnsi="Arial" w:cs="Arial"/>
          <w:b/>
          <w:i/>
        </w:rPr>
        <w:t xml:space="preserve">далее осуществляется </w:t>
      </w:r>
      <w:r w:rsidRPr="004D7349">
        <w:rPr>
          <w:rFonts w:ascii="Arial" w:hAnsi="Arial" w:cs="Arial"/>
          <w:b/>
          <w:i/>
        </w:rPr>
        <w:t>исходя из динамики приведенных показателей.</w:t>
      </w:r>
    </w:p>
    <w:p w:rsidR="007458C3" w:rsidRDefault="007458C3" w:rsidP="000647F2">
      <w:pPr>
        <w:ind w:firstLine="540"/>
        <w:jc w:val="both"/>
        <w:rPr>
          <w:rFonts w:eastAsia="Calibri"/>
        </w:rPr>
      </w:pPr>
    </w:p>
    <w:p w:rsidR="000647F2" w:rsidRPr="00B85F38" w:rsidRDefault="000647F2" w:rsidP="000647F2">
      <w:pPr>
        <w:ind w:firstLine="540"/>
        <w:jc w:val="both"/>
        <w:rPr>
          <w:rFonts w:ascii="Arial" w:eastAsia="Calibri" w:hAnsi="Arial" w:cs="Arial"/>
          <w:bCs/>
          <w:i/>
        </w:rPr>
      </w:pPr>
      <w:r w:rsidRPr="00604120">
        <w:rPr>
          <w:rFonts w:eastAsia="Calibri"/>
        </w:rPr>
        <w:t>В случае если эмитент помимо финансовой отчетности составляет также консолидированную финансовую отчетность, дополнительно может быть приведена динамика показателей, характеризующих результаты финансово-хозяйственной деятельности эмитента, в том числе ее прибыльность или убыточность, расчет которых осуществляется на основании консолидированной финансовой отчетности эмитента, с указанием этого обстоятельства.</w:t>
      </w:r>
      <w:r w:rsidRPr="00604120">
        <w:rPr>
          <w:rFonts w:eastAsia="Calibri"/>
          <w:b/>
          <w:bCs/>
        </w:rPr>
        <w:t xml:space="preserve"> </w:t>
      </w:r>
      <w:r w:rsidRPr="00B85F38">
        <w:rPr>
          <w:rFonts w:ascii="Arial" w:eastAsia="Calibri" w:hAnsi="Arial" w:cs="Arial"/>
          <w:b/>
          <w:bCs/>
          <w:i/>
        </w:rPr>
        <w:t>Расчет показателей осуществлен по методике, рекомендуемой Положением о раскрытии.</w:t>
      </w:r>
    </w:p>
    <w:p w:rsidR="000647F2" w:rsidRPr="00604120" w:rsidRDefault="000647F2" w:rsidP="000647F2">
      <w:pPr>
        <w:ind w:firstLine="540"/>
        <w:rPr>
          <w:i/>
        </w:rPr>
      </w:pPr>
    </w:p>
    <w:p w:rsidR="001930CD" w:rsidRDefault="001930CD" w:rsidP="001930CD">
      <w:pPr>
        <w:ind w:firstLine="567"/>
        <w:jc w:val="both"/>
        <w:rPr>
          <w:rFonts w:eastAsia="Calibri"/>
        </w:rPr>
      </w:pPr>
      <w:bookmarkStart w:id="60" w:name="_DV_M6349"/>
      <w:bookmarkStart w:id="61" w:name="_DV_M6350"/>
      <w:bookmarkStart w:id="62" w:name="_DV_M6351"/>
      <w:bookmarkEnd w:id="60"/>
      <w:bookmarkEnd w:id="61"/>
      <w:bookmarkEnd w:id="62"/>
      <w:r w:rsidRPr="00604120">
        <w:rPr>
          <w:rFonts w:eastAsia="Calibri"/>
          <w:u w:val="single"/>
        </w:rPr>
        <w:t>Экономический анализ прибыльности/убыточности эмитента исходя из динамики показателей</w:t>
      </w:r>
      <w:r>
        <w:rPr>
          <w:rFonts w:eastAsia="Calibri"/>
          <w:u w:val="single"/>
        </w:rPr>
        <w:t xml:space="preserve">, </w:t>
      </w:r>
      <w:r w:rsidRPr="001930CD">
        <w:rPr>
          <w:rFonts w:eastAsia="Calibri"/>
          <w:u w:val="single"/>
        </w:rPr>
        <w:t>рассчитанных на основании данных аудированной бухгалтерской отчетности Эмитента за соответствующие отчётные годы, составленной по Российским стандартам бухгалтерской отчетности (РСБУ) (при последующем анализе не учитываются данные, приведенные справочно)</w:t>
      </w:r>
    </w:p>
    <w:p w:rsidR="00A06BCF" w:rsidRDefault="00A06BCF" w:rsidP="0081789B">
      <w:pPr>
        <w:widowControl/>
        <w:spacing w:before="0" w:after="0"/>
        <w:ind w:firstLine="567"/>
        <w:jc w:val="both"/>
        <w:rPr>
          <w:rFonts w:ascii="Times New Roman,BoldItalic" w:eastAsiaTheme="minorHAnsi" w:hAnsi="Times New Roman,BoldItalic" w:cs="Times New Roman,BoldItalic"/>
          <w:b/>
          <w:bCs/>
          <w:i/>
          <w:iCs/>
          <w:u w:val="single"/>
          <w:lang w:eastAsia="en-US"/>
        </w:rPr>
      </w:pPr>
    </w:p>
    <w:p w:rsidR="000647F2" w:rsidRPr="000647F2" w:rsidRDefault="000647F2" w:rsidP="0081789B">
      <w:pPr>
        <w:widowControl/>
        <w:spacing w:before="0" w:after="0"/>
        <w:ind w:firstLine="567"/>
        <w:jc w:val="both"/>
        <w:rPr>
          <w:b/>
          <w:color w:val="000000"/>
        </w:rPr>
      </w:pPr>
      <w:r>
        <w:rPr>
          <w:rFonts w:ascii="Times New Roman,BoldItalic" w:eastAsiaTheme="minorHAnsi" w:hAnsi="Times New Roman,BoldItalic" w:cs="Times New Roman,BoldItalic"/>
          <w:b/>
          <w:bCs/>
          <w:i/>
          <w:iCs/>
          <w:u w:val="single"/>
          <w:lang w:eastAsia="en-US"/>
        </w:rPr>
        <w:t>Показатель «Н</w:t>
      </w:r>
      <w:r w:rsidRPr="00C14DE1">
        <w:rPr>
          <w:rFonts w:ascii="Times New Roman,BoldItalic" w:eastAsiaTheme="minorHAnsi" w:hAnsi="Times New Roman,BoldItalic" w:cs="Times New Roman,BoldItalic"/>
          <w:b/>
          <w:bCs/>
          <w:i/>
          <w:iCs/>
          <w:u w:val="single"/>
          <w:lang w:eastAsia="en-US"/>
        </w:rPr>
        <w:t>орма чистой прибыли</w:t>
      </w:r>
      <w:r>
        <w:rPr>
          <w:rFonts w:ascii="Times New Roman,BoldItalic" w:eastAsiaTheme="minorHAnsi" w:hAnsi="Times New Roman,BoldItalic" w:cs="Times New Roman,BoldItalic"/>
          <w:b/>
          <w:bCs/>
          <w:i/>
          <w:iCs/>
          <w:u w:val="single"/>
          <w:lang w:eastAsia="en-US"/>
        </w:rPr>
        <w:t>»</w:t>
      </w:r>
      <w:r w:rsidR="00993DFC">
        <w:rPr>
          <w:rStyle w:val="af1"/>
          <w:rFonts w:ascii="Times New Roman,BoldItalic" w:eastAsiaTheme="minorHAnsi" w:hAnsi="Times New Roman,BoldItalic" w:cs="Times New Roman,BoldItalic"/>
          <w:b/>
          <w:bCs/>
          <w:i/>
          <w:iCs/>
          <w:u w:val="single"/>
          <w:lang w:eastAsia="en-US"/>
        </w:rPr>
        <w:footnoteReference w:id="3"/>
      </w:r>
      <w:r w:rsidRPr="00C14DE1">
        <w:rPr>
          <w:rFonts w:ascii="Times New Roman,BoldItalic" w:eastAsiaTheme="minorHAnsi" w:hAnsi="Times New Roman,BoldItalic" w:cs="Times New Roman,BoldItalic"/>
          <w:b/>
          <w:bCs/>
          <w:i/>
          <w:iCs/>
          <w:lang w:eastAsia="en-US"/>
        </w:rPr>
        <w:t xml:space="preserve"> характеризует уровень доходности хозяйственной деятельности </w:t>
      </w:r>
      <w:hyperlink r:id="rId13" w:history="1">
        <w:r w:rsidRPr="00C14DE1">
          <w:rPr>
            <w:rFonts w:ascii="Times New Roman,BoldItalic" w:eastAsiaTheme="minorHAnsi" w:hAnsi="Times New Roman,BoldItalic" w:cs="Times New Roman,BoldItalic"/>
            <w:b/>
            <w:bCs/>
            <w:i/>
            <w:iCs/>
            <w:lang w:eastAsia="en-US"/>
          </w:rPr>
          <w:t>организации</w:t>
        </w:r>
      </w:hyperlink>
      <w:r w:rsidRPr="00C14DE1">
        <w:rPr>
          <w:rFonts w:ascii="Times New Roman,BoldItalic" w:eastAsiaTheme="minorHAnsi" w:hAnsi="Times New Roman,BoldItalic" w:cs="Times New Roman,BoldItalic"/>
          <w:b/>
          <w:bCs/>
          <w:i/>
          <w:iCs/>
          <w:lang w:eastAsia="en-US"/>
        </w:rPr>
        <w:t>. Чем выше данный показатель, тем более доходный бизнес Эмитента.</w:t>
      </w:r>
      <w:r w:rsidRPr="00604120">
        <w:rPr>
          <w:b/>
          <w:color w:val="000000"/>
        </w:rPr>
        <w:t xml:space="preserve"> </w:t>
      </w:r>
    </w:p>
    <w:p w:rsidR="006D1F56" w:rsidRDefault="006D1F56" w:rsidP="0081789B">
      <w:pPr>
        <w:widowControl/>
        <w:spacing w:before="0" w:after="0"/>
        <w:ind w:firstLine="567"/>
        <w:jc w:val="both"/>
        <w:rPr>
          <w:rFonts w:ascii="TimesNewRomanPS-BoldItalicMT" w:eastAsiaTheme="minorHAnsi" w:hAnsi="TimesNewRomanPS-BoldItalicMT" w:cs="TimesNewRomanPS-BoldItalicMT"/>
          <w:b/>
          <w:bCs/>
          <w:i/>
          <w:iCs/>
          <w:lang w:eastAsia="en-US"/>
        </w:rPr>
      </w:pPr>
      <w:r>
        <w:rPr>
          <w:rFonts w:ascii="TimesNewRomanPS-BoldItalicMT" w:eastAsiaTheme="minorHAnsi" w:hAnsi="TimesNewRomanPS-BoldItalicMT" w:cs="TimesNewRomanPS-BoldItalicMT"/>
          <w:b/>
          <w:bCs/>
          <w:i/>
          <w:iCs/>
          <w:lang w:eastAsia="en-US"/>
        </w:rPr>
        <w:t xml:space="preserve">На всем анализируемом отрезке, в период с 2011 по 2015 годы, данный показатель находился на довольно высоком уровне. </w:t>
      </w:r>
    </w:p>
    <w:p w:rsidR="006D1F56" w:rsidRDefault="006D1F56" w:rsidP="006D1F56">
      <w:pPr>
        <w:widowControl/>
        <w:spacing w:before="0" w:after="0"/>
        <w:ind w:firstLine="567"/>
        <w:jc w:val="both"/>
        <w:rPr>
          <w:rFonts w:ascii="TimesNewRomanPS-BoldItalicMT" w:eastAsiaTheme="minorHAnsi" w:hAnsi="TimesNewRomanPS-BoldItalicMT" w:cs="TimesNewRomanPS-BoldItalicMT"/>
          <w:b/>
          <w:bCs/>
          <w:i/>
          <w:iCs/>
          <w:lang w:eastAsia="en-US"/>
        </w:rPr>
      </w:pPr>
      <w:r>
        <w:rPr>
          <w:rFonts w:ascii="TimesNewRomanPS-BoldItalicMT" w:eastAsiaTheme="minorHAnsi" w:hAnsi="TimesNewRomanPS-BoldItalicMT" w:cs="TimesNewRomanPS-BoldItalicMT"/>
          <w:b/>
          <w:bCs/>
          <w:i/>
          <w:iCs/>
          <w:lang w:eastAsia="en-US"/>
        </w:rPr>
        <w:t xml:space="preserve">Максимальное значение </w:t>
      </w:r>
      <w:r w:rsidR="00520F71">
        <w:rPr>
          <w:rFonts w:ascii="TimesNewRomanPS-BoldItalicMT" w:eastAsiaTheme="minorHAnsi" w:hAnsi="TimesNewRomanPS-BoldItalicMT" w:cs="TimesNewRomanPS-BoldItalicMT"/>
          <w:b/>
          <w:bCs/>
          <w:i/>
          <w:iCs/>
          <w:lang w:eastAsia="en-US"/>
        </w:rPr>
        <w:t>«</w:t>
      </w:r>
      <w:r>
        <w:rPr>
          <w:rFonts w:ascii="TimesNewRomanPS-BoldItalicMT" w:eastAsiaTheme="minorHAnsi" w:hAnsi="TimesNewRomanPS-BoldItalicMT" w:cs="TimesNewRomanPS-BoldItalicMT"/>
          <w:b/>
          <w:bCs/>
          <w:i/>
          <w:iCs/>
          <w:lang w:eastAsia="en-US"/>
        </w:rPr>
        <w:t>Нормы чистой прибыли</w:t>
      </w:r>
      <w:r w:rsidR="00520F71">
        <w:rPr>
          <w:rFonts w:ascii="TimesNewRomanPS-BoldItalicMT" w:eastAsiaTheme="minorHAnsi" w:hAnsi="TimesNewRomanPS-BoldItalicMT" w:cs="TimesNewRomanPS-BoldItalicMT"/>
          <w:b/>
          <w:bCs/>
          <w:i/>
          <w:iCs/>
          <w:lang w:eastAsia="en-US"/>
        </w:rPr>
        <w:t>»</w:t>
      </w:r>
      <w:r>
        <w:rPr>
          <w:rFonts w:ascii="TimesNewRomanPS-BoldItalicMT" w:eastAsiaTheme="minorHAnsi" w:hAnsi="TimesNewRomanPS-BoldItalicMT" w:cs="TimesNewRomanPS-BoldItalicMT"/>
          <w:b/>
          <w:bCs/>
          <w:i/>
          <w:iCs/>
          <w:lang w:eastAsia="en-US"/>
        </w:rPr>
        <w:t xml:space="preserve"> было зафиксировано по итогам 2012 г</w:t>
      </w:r>
      <w:r w:rsidR="00520F71">
        <w:rPr>
          <w:rFonts w:ascii="TimesNewRomanPS-BoldItalicMT" w:eastAsiaTheme="minorHAnsi" w:hAnsi="TimesNewRomanPS-BoldItalicMT" w:cs="TimesNewRomanPS-BoldItalicMT"/>
          <w:b/>
          <w:bCs/>
          <w:i/>
          <w:iCs/>
          <w:lang w:eastAsia="en-US"/>
        </w:rPr>
        <w:t xml:space="preserve">ода на уровне </w:t>
      </w:r>
      <w:r>
        <w:rPr>
          <w:rFonts w:ascii="TimesNewRomanPS-BoldItalicMT" w:eastAsiaTheme="minorHAnsi" w:hAnsi="TimesNewRomanPS-BoldItalicMT" w:cs="TimesNewRomanPS-BoldItalicMT"/>
          <w:b/>
          <w:bCs/>
          <w:i/>
          <w:iCs/>
          <w:lang w:eastAsia="en-US"/>
        </w:rPr>
        <w:t>30,84%. Основное влияние на рост показателя оказали неоперационные доходы и расходы: увеличение финансовых доходов – процентов к получению, снижение отрицательных курсовых разниц.</w:t>
      </w:r>
    </w:p>
    <w:p w:rsidR="006D1F56" w:rsidRDefault="006D1F56" w:rsidP="006D1F56">
      <w:pPr>
        <w:widowControl/>
        <w:spacing w:before="0" w:after="0"/>
        <w:ind w:firstLine="567"/>
        <w:jc w:val="both"/>
        <w:rPr>
          <w:rFonts w:ascii="Times New Roman,BoldItalic" w:eastAsiaTheme="minorHAnsi" w:hAnsi="Times New Roman,BoldItalic" w:cs="Times New Roman,BoldItalic"/>
          <w:b/>
          <w:bCs/>
          <w:i/>
          <w:iCs/>
          <w:lang w:eastAsia="en-US"/>
        </w:rPr>
      </w:pPr>
      <w:r>
        <w:rPr>
          <w:rFonts w:ascii="TimesNewRomanPS-BoldItalicMT" w:eastAsiaTheme="minorHAnsi" w:hAnsi="TimesNewRomanPS-BoldItalicMT" w:cs="TimesNewRomanPS-BoldItalicMT"/>
          <w:b/>
          <w:bCs/>
          <w:i/>
          <w:iCs/>
          <w:lang w:eastAsia="en-US"/>
        </w:rPr>
        <w:t xml:space="preserve">Минимальное значение показателя составило 14,65% </w:t>
      </w:r>
      <w:r>
        <w:rPr>
          <w:rFonts w:ascii="Times New Roman,BoldItalic" w:eastAsiaTheme="minorHAnsi" w:hAnsi="Times New Roman,BoldItalic" w:cs="Times New Roman,BoldItalic"/>
          <w:b/>
          <w:bCs/>
          <w:i/>
          <w:iCs/>
          <w:lang w:eastAsia="en-US"/>
        </w:rPr>
        <w:t>по итогам</w:t>
      </w:r>
      <w:r w:rsidRPr="00C14DE1">
        <w:rPr>
          <w:rFonts w:ascii="Times New Roman,BoldItalic" w:eastAsiaTheme="minorHAnsi" w:hAnsi="Times New Roman,BoldItalic" w:cs="Times New Roman,BoldItalic"/>
          <w:b/>
          <w:bCs/>
          <w:i/>
          <w:iCs/>
          <w:lang w:eastAsia="en-US"/>
        </w:rPr>
        <w:t xml:space="preserve"> 2014 г</w:t>
      </w:r>
      <w:r>
        <w:rPr>
          <w:rFonts w:ascii="Times New Roman,BoldItalic" w:eastAsiaTheme="minorHAnsi" w:hAnsi="Times New Roman,BoldItalic" w:cs="Times New Roman,BoldItalic"/>
          <w:b/>
          <w:bCs/>
          <w:i/>
          <w:iCs/>
          <w:lang w:eastAsia="en-US"/>
        </w:rPr>
        <w:t>ода. В</w:t>
      </w:r>
      <w:r w:rsidRPr="00B7535E">
        <w:rPr>
          <w:rFonts w:ascii="Times New Roman,BoldItalic" w:eastAsiaTheme="minorHAnsi" w:hAnsi="Times New Roman,BoldItalic" w:cs="Times New Roman,BoldItalic"/>
          <w:b/>
          <w:bCs/>
          <w:i/>
          <w:iCs/>
          <w:lang w:eastAsia="en-US"/>
        </w:rPr>
        <w:t xml:space="preserve"> 2014 </w:t>
      </w:r>
      <w:r>
        <w:rPr>
          <w:rFonts w:ascii="Times New Roman,BoldItalic" w:eastAsiaTheme="minorHAnsi" w:hAnsi="Times New Roman,BoldItalic" w:cs="Times New Roman,BoldItalic"/>
          <w:b/>
          <w:bCs/>
          <w:i/>
          <w:iCs/>
          <w:lang w:eastAsia="en-US"/>
        </w:rPr>
        <w:t>г. Эмитент завершил основной этап работ по проекту «Конгрессно-выставочный центр»</w:t>
      </w:r>
      <w:r w:rsidRPr="00B7535E">
        <w:rPr>
          <w:rFonts w:ascii="Times New Roman,BoldItalic" w:eastAsiaTheme="minorHAnsi" w:hAnsi="Times New Roman,BoldItalic" w:cs="Times New Roman,BoldItalic"/>
          <w:b/>
          <w:bCs/>
          <w:i/>
          <w:iCs/>
          <w:lang w:eastAsia="en-US"/>
        </w:rPr>
        <w:t xml:space="preserve"> (Заказчик – ЗАО «ЭкспоФорум»)</w:t>
      </w:r>
      <w:r>
        <w:rPr>
          <w:rFonts w:ascii="Times New Roman,BoldItalic" w:eastAsiaTheme="minorHAnsi" w:hAnsi="Times New Roman,BoldItalic" w:cs="Times New Roman,BoldItalic"/>
          <w:b/>
          <w:bCs/>
          <w:i/>
          <w:iCs/>
          <w:lang w:eastAsia="en-US"/>
        </w:rPr>
        <w:t>, где исполнял функции Генерального подрядчика. В</w:t>
      </w:r>
      <w:r w:rsidRPr="00B7535E">
        <w:rPr>
          <w:rFonts w:ascii="Times New Roman,BoldItalic" w:eastAsiaTheme="minorHAnsi" w:hAnsi="Times New Roman,BoldItalic" w:cs="Times New Roman,BoldItalic"/>
          <w:b/>
          <w:bCs/>
          <w:i/>
          <w:iCs/>
          <w:lang w:eastAsia="en-US"/>
        </w:rPr>
        <w:t xml:space="preserve">ыручка по </w:t>
      </w:r>
      <w:r>
        <w:rPr>
          <w:rFonts w:ascii="Times New Roman,BoldItalic" w:eastAsiaTheme="minorHAnsi" w:hAnsi="Times New Roman,BoldItalic" w:cs="Times New Roman,BoldItalic"/>
          <w:b/>
          <w:bCs/>
          <w:i/>
          <w:iCs/>
          <w:lang w:eastAsia="en-US"/>
        </w:rPr>
        <w:t>г</w:t>
      </w:r>
      <w:r w:rsidRPr="00B7535E">
        <w:rPr>
          <w:rFonts w:ascii="Times New Roman,BoldItalic" w:eastAsiaTheme="minorHAnsi" w:hAnsi="Times New Roman,BoldItalic" w:cs="Times New Roman,BoldItalic"/>
          <w:b/>
          <w:bCs/>
          <w:i/>
          <w:iCs/>
          <w:lang w:eastAsia="en-US"/>
        </w:rPr>
        <w:t>енподрядным услугам и переданным заказчику выполненным строительно</w:t>
      </w:r>
      <w:r w:rsidRPr="00B7535E">
        <w:rPr>
          <w:rFonts w:eastAsiaTheme="minorHAnsi"/>
          <w:b/>
          <w:bCs/>
          <w:i/>
          <w:iCs/>
          <w:lang w:eastAsia="en-US"/>
        </w:rPr>
        <w:t>-</w:t>
      </w:r>
      <w:r w:rsidRPr="00B7535E">
        <w:rPr>
          <w:rFonts w:ascii="Times New Roman,BoldItalic" w:eastAsiaTheme="minorHAnsi" w:hAnsi="Times New Roman,BoldItalic" w:cs="Times New Roman,BoldItalic"/>
          <w:b/>
          <w:bCs/>
          <w:i/>
          <w:iCs/>
          <w:lang w:eastAsia="en-US"/>
        </w:rPr>
        <w:t xml:space="preserve">монтажным работам по проекту </w:t>
      </w:r>
      <w:r>
        <w:rPr>
          <w:rFonts w:ascii="Times New Roman,BoldItalic" w:eastAsiaTheme="minorHAnsi" w:hAnsi="Times New Roman,BoldItalic" w:cs="Times New Roman,BoldItalic"/>
          <w:b/>
          <w:bCs/>
          <w:i/>
          <w:iCs/>
          <w:lang w:eastAsia="en-US"/>
        </w:rPr>
        <w:t>достигла, в 2014 г</w:t>
      </w:r>
      <w:r w:rsidR="00520F71">
        <w:rPr>
          <w:rFonts w:ascii="Times New Roman,BoldItalic" w:eastAsiaTheme="minorHAnsi" w:hAnsi="Times New Roman,BoldItalic" w:cs="Times New Roman,BoldItalic"/>
          <w:b/>
          <w:bCs/>
          <w:i/>
          <w:iCs/>
          <w:lang w:eastAsia="en-US"/>
        </w:rPr>
        <w:t>оду</w:t>
      </w:r>
      <w:r>
        <w:rPr>
          <w:rFonts w:ascii="Times New Roman,BoldItalic" w:eastAsiaTheme="minorHAnsi" w:hAnsi="Times New Roman,BoldItalic" w:cs="Times New Roman,BoldItalic"/>
          <w:b/>
          <w:bCs/>
          <w:i/>
          <w:iCs/>
          <w:lang w:eastAsia="en-US"/>
        </w:rPr>
        <w:t xml:space="preserve">, </w:t>
      </w:r>
      <w:r w:rsidRPr="00B7535E">
        <w:rPr>
          <w:rFonts w:ascii="Times New Roman,BoldItalic" w:eastAsiaTheme="minorHAnsi" w:hAnsi="Times New Roman,BoldItalic" w:cs="Times New Roman,BoldItalic"/>
          <w:b/>
          <w:bCs/>
          <w:i/>
          <w:iCs/>
          <w:lang w:eastAsia="en-US"/>
        </w:rPr>
        <w:t xml:space="preserve">9 </w:t>
      </w:r>
      <w:r>
        <w:rPr>
          <w:rFonts w:ascii="Times New Roman,BoldItalic" w:eastAsiaTheme="minorHAnsi" w:hAnsi="Times New Roman,BoldItalic" w:cs="Times New Roman,BoldItalic"/>
          <w:b/>
          <w:bCs/>
          <w:i/>
          <w:iCs/>
          <w:lang w:eastAsia="en-US"/>
        </w:rPr>
        <w:t>830</w:t>
      </w:r>
      <w:r w:rsidRPr="00B7535E">
        <w:rPr>
          <w:rFonts w:ascii="Times New Roman,BoldItalic" w:eastAsiaTheme="minorHAnsi" w:hAnsi="Times New Roman,BoldItalic" w:cs="Times New Roman,BoldItalic"/>
          <w:b/>
          <w:bCs/>
          <w:i/>
          <w:iCs/>
          <w:lang w:eastAsia="en-US"/>
        </w:rPr>
        <w:t xml:space="preserve"> </w:t>
      </w:r>
      <w:r>
        <w:rPr>
          <w:rFonts w:ascii="Times New Roman,BoldItalic" w:eastAsiaTheme="minorHAnsi" w:hAnsi="Times New Roman,BoldItalic" w:cs="Times New Roman,BoldItalic"/>
          <w:b/>
          <w:bCs/>
          <w:i/>
          <w:iCs/>
          <w:lang w:eastAsia="en-US"/>
        </w:rPr>
        <w:t>млн</w:t>
      </w:r>
      <w:r w:rsidR="00520F71">
        <w:rPr>
          <w:rFonts w:ascii="Times New Roman,BoldItalic" w:eastAsiaTheme="minorHAnsi" w:hAnsi="Times New Roman,BoldItalic" w:cs="Times New Roman,BoldItalic"/>
          <w:b/>
          <w:bCs/>
          <w:i/>
          <w:iCs/>
          <w:lang w:eastAsia="en-US"/>
        </w:rPr>
        <w:t>.</w:t>
      </w:r>
      <w:r w:rsidRPr="00B7535E">
        <w:rPr>
          <w:rFonts w:ascii="Times New Roman,BoldItalic" w:eastAsiaTheme="minorHAnsi" w:hAnsi="Times New Roman,BoldItalic" w:cs="Times New Roman,BoldItalic"/>
          <w:b/>
          <w:bCs/>
          <w:i/>
          <w:iCs/>
          <w:lang w:eastAsia="en-US"/>
        </w:rPr>
        <w:t xml:space="preserve"> рублей, что состав</w:t>
      </w:r>
      <w:r>
        <w:rPr>
          <w:rFonts w:ascii="Times New Roman,BoldItalic" w:eastAsiaTheme="minorHAnsi" w:hAnsi="Times New Roman,BoldItalic" w:cs="Times New Roman,BoldItalic"/>
          <w:b/>
          <w:bCs/>
          <w:i/>
          <w:iCs/>
          <w:lang w:eastAsia="en-US"/>
        </w:rPr>
        <w:t>ило</w:t>
      </w:r>
      <w:r w:rsidRPr="00B7535E">
        <w:rPr>
          <w:rFonts w:ascii="Times New Roman,BoldItalic" w:eastAsiaTheme="minorHAnsi" w:hAnsi="Times New Roman,BoldItalic" w:cs="Times New Roman,BoldItalic"/>
          <w:b/>
          <w:bCs/>
          <w:i/>
          <w:iCs/>
          <w:lang w:eastAsia="en-US"/>
        </w:rPr>
        <w:t xml:space="preserve"> </w:t>
      </w:r>
      <w:r>
        <w:rPr>
          <w:rFonts w:ascii="Times New Roman,BoldItalic" w:eastAsiaTheme="minorHAnsi" w:hAnsi="Times New Roman,BoldItalic" w:cs="Times New Roman,BoldItalic"/>
          <w:b/>
          <w:bCs/>
          <w:i/>
          <w:iCs/>
          <w:lang w:eastAsia="en-US"/>
        </w:rPr>
        <w:t>45%</w:t>
      </w:r>
      <w:r w:rsidRPr="00B7535E">
        <w:rPr>
          <w:rFonts w:ascii="Times New Roman,BoldItalic" w:eastAsiaTheme="minorHAnsi" w:hAnsi="Times New Roman,BoldItalic" w:cs="Times New Roman,BoldItalic"/>
          <w:b/>
          <w:bCs/>
          <w:i/>
          <w:iCs/>
          <w:lang w:eastAsia="en-US"/>
        </w:rPr>
        <w:t xml:space="preserve"> от валовой выручки 2014 года. </w:t>
      </w:r>
      <w:r>
        <w:rPr>
          <w:rFonts w:ascii="Times New Roman,BoldItalic" w:eastAsiaTheme="minorHAnsi" w:hAnsi="Times New Roman,BoldItalic" w:cs="Times New Roman,BoldItalic"/>
          <w:b/>
          <w:bCs/>
          <w:i/>
          <w:iCs/>
          <w:lang w:eastAsia="en-US"/>
        </w:rPr>
        <w:t>Однако, данный проект носит для Эмитента, скорее, репутационный характер, так как экономический эффект от его реализации существенно ниже, чем от основной деятельности Эмитента, связанной с жилищным строительством. Таким образом, высокая доля в выручке 2014 г</w:t>
      </w:r>
      <w:r w:rsidR="00520F71">
        <w:rPr>
          <w:rFonts w:ascii="Times New Roman,BoldItalic" w:eastAsiaTheme="minorHAnsi" w:hAnsi="Times New Roman,BoldItalic" w:cs="Times New Roman,BoldItalic"/>
          <w:b/>
          <w:bCs/>
          <w:i/>
          <w:iCs/>
          <w:lang w:eastAsia="en-US"/>
        </w:rPr>
        <w:t>ода</w:t>
      </w:r>
      <w:r>
        <w:rPr>
          <w:rFonts w:ascii="Times New Roman,BoldItalic" w:eastAsiaTheme="minorHAnsi" w:hAnsi="Times New Roman,BoldItalic" w:cs="Times New Roman,BoldItalic"/>
          <w:b/>
          <w:bCs/>
          <w:i/>
          <w:iCs/>
          <w:lang w:eastAsia="en-US"/>
        </w:rPr>
        <w:t xml:space="preserve"> относительно низкорентабельного проекта оказала понижающее влияние на показатель «Норма чистой прибыли».</w:t>
      </w:r>
    </w:p>
    <w:p w:rsidR="00A06BCF" w:rsidRDefault="00A06BCF" w:rsidP="00AC7FDB">
      <w:pPr>
        <w:widowControl/>
        <w:spacing w:before="0" w:after="0"/>
        <w:ind w:firstLine="567"/>
        <w:jc w:val="both"/>
        <w:rPr>
          <w:rFonts w:ascii="Times New Roman,BoldItalic" w:eastAsiaTheme="minorHAnsi" w:hAnsi="Times New Roman,BoldItalic" w:cs="Times New Roman,BoldItalic"/>
          <w:b/>
          <w:bCs/>
          <w:i/>
          <w:iCs/>
          <w:u w:val="single"/>
          <w:lang w:eastAsia="en-US"/>
        </w:rPr>
      </w:pPr>
    </w:p>
    <w:p w:rsidR="00C17934" w:rsidRPr="005C2578" w:rsidRDefault="00C17934" w:rsidP="00AC7FDB">
      <w:pPr>
        <w:widowControl/>
        <w:spacing w:before="0" w:after="0"/>
        <w:ind w:firstLine="567"/>
        <w:jc w:val="both"/>
        <w:rPr>
          <w:rFonts w:asciiTheme="minorHAnsi" w:eastAsiaTheme="minorHAnsi" w:hAnsiTheme="minorHAnsi" w:cs="Times New Roman,BoldItalic"/>
          <w:b/>
          <w:bCs/>
          <w:i/>
          <w:iCs/>
          <w:lang w:eastAsia="en-US"/>
        </w:rPr>
      </w:pPr>
      <w:r>
        <w:rPr>
          <w:rFonts w:ascii="Times New Roman,BoldItalic" w:eastAsiaTheme="minorHAnsi" w:hAnsi="Times New Roman,BoldItalic" w:cs="Times New Roman,BoldItalic"/>
          <w:b/>
          <w:bCs/>
          <w:i/>
          <w:iCs/>
          <w:u w:val="single"/>
          <w:lang w:eastAsia="en-US"/>
        </w:rPr>
        <w:t>Показатель «К</w:t>
      </w:r>
      <w:r w:rsidRPr="00334858">
        <w:rPr>
          <w:rFonts w:ascii="Times New Roman,BoldItalic" w:eastAsiaTheme="minorHAnsi" w:hAnsi="Times New Roman,BoldItalic" w:cs="Times New Roman,BoldItalic"/>
          <w:b/>
          <w:bCs/>
          <w:i/>
          <w:iCs/>
          <w:u w:val="single"/>
          <w:lang w:eastAsia="en-US"/>
        </w:rPr>
        <w:t>оэффициент оборачиваемости активов</w:t>
      </w:r>
      <w:r>
        <w:rPr>
          <w:rFonts w:ascii="Times New Roman,BoldItalic" w:eastAsiaTheme="minorHAnsi" w:hAnsi="Times New Roman,BoldItalic" w:cs="Times New Roman,BoldItalic"/>
          <w:b/>
          <w:bCs/>
          <w:i/>
          <w:iCs/>
          <w:u w:val="single"/>
          <w:lang w:eastAsia="en-US"/>
        </w:rPr>
        <w:t>»</w:t>
      </w:r>
      <w:r w:rsidRPr="00334858">
        <w:rPr>
          <w:rFonts w:ascii="Times New Roman,BoldItalic" w:eastAsiaTheme="minorHAnsi" w:hAnsi="Times New Roman,BoldItalic" w:cs="Times New Roman,BoldItalic"/>
          <w:b/>
          <w:bCs/>
          <w:i/>
          <w:iCs/>
          <w:lang w:eastAsia="en-US"/>
        </w:rPr>
        <w:t xml:space="preserve"> говорит об эффективности, с которой организация использует свои ресурсы для выпуска продукции (услуг). Характеризует эффективность использования Эмитентом всех имеющихся в распоряжении ресурсов, независимо от источников их привлечения. Данный коэффициент показывает</w:t>
      </w:r>
      <w:r>
        <w:rPr>
          <w:rFonts w:ascii="Times New Roman,BoldItalic" w:eastAsiaTheme="minorHAnsi" w:hAnsi="Times New Roman,BoldItalic" w:cs="Times New Roman,BoldItalic"/>
          <w:b/>
          <w:bCs/>
          <w:i/>
          <w:iCs/>
          <w:lang w:eastAsia="en-US"/>
        </w:rPr>
        <w:t>,</w:t>
      </w:r>
      <w:r w:rsidRPr="00334858">
        <w:rPr>
          <w:rFonts w:ascii="Times New Roman,BoldItalic" w:eastAsiaTheme="minorHAnsi" w:hAnsi="Times New Roman,BoldItalic" w:cs="Times New Roman,BoldItalic"/>
          <w:b/>
          <w:bCs/>
          <w:i/>
          <w:iCs/>
          <w:lang w:eastAsia="en-US"/>
        </w:rPr>
        <w:t xml:space="preserve"> сколько раз за год совершается полный цикл производства и обращения</w:t>
      </w:r>
      <w:r>
        <w:rPr>
          <w:rFonts w:ascii="Times New Roman,BoldItalic" w:eastAsiaTheme="minorHAnsi" w:hAnsi="Times New Roman,BoldItalic" w:cs="Times New Roman,BoldItalic"/>
          <w:b/>
          <w:bCs/>
          <w:i/>
          <w:iCs/>
          <w:lang w:eastAsia="en-US"/>
        </w:rPr>
        <w:t xml:space="preserve"> активов</w:t>
      </w:r>
      <w:r w:rsidRPr="00334858">
        <w:rPr>
          <w:rFonts w:ascii="Times New Roman,BoldItalic" w:eastAsiaTheme="minorHAnsi" w:hAnsi="Times New Roman,BoldItalic" w:cs="Times New Roman,BoldItalic"/>
          <w:b/>
          <w:bCs/>
          <w:i/>
          <w:iCs/>
          <w:lang w:eastAsia="en-US"/>
        </w:rPr>
        <w:t xml:space="preserve">, приносящий соответствующий эффект в виде прибыли. </w:t>
      </w:r>
    </w:p>
    <w:p w:rsidR="00C17934" w:rsidRDefault="00C17934" w:rsidP="00C17934">
      <w:pPr>
        <w:widowControl/>
        <w:spacing w:before="0" w:after="0"/>
        <w:ind w:firstLine="709"/>
        <w:jc w:val="both"/>
        <w:rPr>
          <w:rFonts w:ascii="TimesNewRomanPS-BoldItalicMT" w:eastAsiaTheme="minorHAnsi" w:hAnsi="TimesNewRomanPS-BoldItalicMT" w:cs="TimesNewRomanPS-BoldItalicMT"/>
          <w:b/>
          <w:bCs/>
          <w:i/>
          <w:iCs/>
          <w:lang w:eastAsia="en-US"/>
        </w:rPr>
      </w:pPr>
      <w:r>
        <w:rPr>
          <w:rFonts w:ascii="TimesNewRomanPS-BoldItalicMT" w:eastAsiaTheme="minorHAnsi" w:hAnsi="TimesNewRomanPS-BoldItalicMT" w:cs="TimesNewRomanPS-BoldItalicMT"/>
          <w:b/>
          <w:bCs/>
          <w:i/>
          <w:iCs/>
          <w:lang w:eastAsia="en-US"/>
        </w:rPr>
        <w:t>В 2011 г</w:t>
      </w:r>
      <w:r w:rsidR="007930FC">
        <w:rPr>
          <w:rFonts w:ascii="TimesNewRomanPS-BoldItalicMT" w:eastAsiaTheme="minorHAnsi" w:hAnsi="TimesNewRomanPS-BoldItalicMT" w:cs="TimesNewRomanPS-BoldItalicMT"/>
          <w:b/>
          <w:bCs/>
          <w:i/>
          <w:iCs/>
          <w:lang w:eastAsia="en-US"/>
        </w:rPr>
        <w:t>оду</w:t>
      </w:r>
      <w:r>
        <w:rPr>
          <w:rFonts w:ascii="TimesNewRomanPS-BoldItalicMT" w:eastAsiaTheme="minorHAnsi" w:hAnsi="TimesNewRomanPS-BoldItalicMT" w:cs="TimesNewRomanPS-BoldItalicMT"/>
          <w:b/>
          <w:bCs/>
          <w:i/>
          <w:iCs/>
          <w:lang w:eastAsia="en-US"/>
        </w:rPr>
        <w:t>, значение показателя составило 0,41. В период с 2012 по 2015 годы, данный показатель незначительно колебался в коридоре от 0,23 до 0,29.</w:t>
      </w:r>
    </w:p>
    <w:p w:rsidR="00C17934" w:rsidRDefault="00C17934" w:rsidP="00C17934">
      <w:pPr>
        <w:widowControl/>
        <w:spacing w:before="0" w:after="0"/>
        <w:ind w:firstLine="567"/>
        <w:jc w:val="both"/>
        <w:rPr>
          <w:rFonts w:ascii="TimesNewRomanPS-BoldItalicMT" w:eastAsiaTheme="minorHAnsi" w:hAnsi="TimesNewRomanPS-BoldItalicMT" w:cs="TimesNewRomanPS-BoldItalicMT"/>
          <w:b/>
          <w:bCs/>
          <w:i/>
          <w:iCs/>
          <w:lang w:eastAsia="en-US"/>
        </w:rPr>
      </w:pPr>
      <w:r>
        <w:rPr>
          <w:rFonts w:ascii="TimesNewRomanPS-BoldItalicMT" w:eastAsiaTheme="minorHAnsi" w:hAnsi="TimesNewRomanPS-BoldItalicMT" w:cs="TimesNewRomanPS-BoldItalicMT"/>
          <w:b/>
          <w:bCs/>
          <w:i/>
          <w:iCs/>
          <w:lang w:eastAsia="en-US"/>
        </w:rPr>
        <w:t>Необходимо отметить, что основная деятельность Эмитента – жилищное строительство – не предполагает быстрой оборачиваемости активов. Операционный цикл Эмитента составляет от 2 до 5 лет, необходимых для реализации инвестиционно-строительных проектов и определения финансового результата по их реализации, что и отражает значение Коэффициента оборачиваемости активов.</w:t>
      </w:r>
    </w:p>
    <w:p w:rsidR="00C17934" w:rsidRDefault="00C17934" w:rsidP="00C17934">
      <w:pPr>
        <w:widowControl/>
        <w:spacing w:before="0" w:after="0"/>
        <w:ind w:firstLine="567"/>
        <w:jc w:val="both"/>
        <w:rPr>
          <w:rFonts w:ascii="TimesNewRomanPS-BoldItalicMT" w:eastAsiaTheme="minorHAnsi" w:hAnsi="TimesNewRomanPS-BoldItalicMT" w:cs="TimesNewRomanPS-BoldItalicMT"/>
          <w:b/>
          <w:bCs/>
          <w:i/>
          <w:iCs/>
          <w:lang w:eastAsia="en-US"/>
        </w:rPr>
      </w:pPr>
      <w:r>
        <w:rPr>
          <w:rFonts w:ascii="TimesNewRomanPS-BoldItalicMT" w:eastAsiaTheme="minorHAnsi" w:hAnsi="TimesNewRomanPS-BoldItalicMT" w:cs="TimesNewRomanPS-BoldItalicMT"/>
          <w:b/>
          <w:bCs/>
          <w:i/>
          <w:iCs/>
          <w:lang w:eastAsia="en-US"/>
        </w:rPr>
        <w:t xml:space="preserve">В 2012 – 2013 </w:t>
      </w:r>
      <w:r w:rsidR="007930FC">
        <w:rPr>
          <w:rFonts w:ascii="TimesNewRomanPS-BoldItalicMT" w:eastAsiaTheme="minorHAnsi" w:hAnsi="TimesNewRomanPS-BoldItalicMT" w:cs="TimesNewRomanPS-BoldItalicMT"/>
          <w:b/>
          <w:bCs/>
          <w:i/>
          <w:iCs/>
          <w:lang w:eastAsia="en-US"/>
        </w:rPr>
        <w:t>годы</w:t>
      </w:r>
      <w:r>
        <w:rPr>
          <w:rFonts w:ascii="TimesNewRomanPS-BoldItalicMT" w:eastAsiaTheme="minorHAnsi" w:hAnsi="TimesNewRomanPS-BoldItalicMT" w:cs="TimesNewRomanPS-BoldItalicMT"/>
          <w:b/>
          <w:bCs/>
          <w:i/>
          <w:iCs/>
          <w:lang w:eastAsia="en-US"/>
        </w:rPr>
        <w:t xml:space="preserve"> Эмитент увеличил объёмы строительных работ по реализации инвестиционно-строительных проектов, что нашло отражение в росте внеоборотных активов – в первую очередь, незавершённого строительства, а также привлёк дополнительный объём заёмных ресурсов для финансирования строительства. Коэффициент оборачиваемости активов в данный период снижался.</w:t>
      </w:r>
    </w:p>
    <w:p w:rsidR="00C17934" w:rsidRPr="00D06977" w:rsidRDefault="00C17934" w:rsidP="00C17934">
      <w:pPr>
        <w:widowControl/>
        <w:spacing w:before="0" w:after="0"/>
        <w:ind w:firstLine="567"/>
        <w:jc w:val="both"/>
        <w:rPr>
          <w:rFonts w:ascii="TimesNewRomanPS-BoldItalicMT" w:eastAsiaTheme="minorHAnsi" w:hAnsi="TimesNewRomanPS-BoldItalicMT" w:cs="TimesNewRomanPS-BoldItalicMT"/>
          <w:b/>
          <w:bCs/>
          <w:i/>
          <w:iCs/>
          <w:lang w:eastAsia="en-US"/>
        </w:rPr>
      </w:pPr>
      <w:r>
        <w:rPr>
          <w:rFonts w:ascii="TimesNewRomanPS-BoldItalicMT" w:eastAsiaTheme="minorHAnsi" w:hAnsi="TimesNewRomanPS-BoldItalicMT" w:cs="TimesNewRomanPS-BoldItalicMT"/>
          <w:b/>
          <w:bCs/>
          <w:i/>
          <w:iCs/>
          <w:lang w:eastAsia="en-US"/>
        </w:rPr>
        <w:t>В 2014 – 2015 г</w:t>
      </w:r>
      <w:r w:rsidR="007930FC">
        <w:rPr>
          <w:rFonts w:ascii="TimesNewRomanPS-BoldItalicMT" w:eastAsiaTheme="minorHAnsi" w:hAnsi="TimesNewRomanPS-BoldItalicMT" w:cs="TimesNewRomanPS-BoldItalicMT"/>
          <w:b/>
          <w:bCs/>
          <w:i/>
          <w:iCs/>
          <w:lang w:eastAsia="en-US"/>
        </w:rPr>
        <w:t>одах</w:t>
      </w:r>
      <w:r>
        <w:rPr>
          <w:rFonts w:ascii="TimesNewRomanPS-BoldItalicMT" w:eastAsiaTheme="minorHAnsi" w:hAnsi="TimesNewRomanPS-BoldItalicMT" w:cs="TimesNewRomanPS-BoldItalicMT"/>
          <w:b/>
          <w:bCs/>
          <w:i/>
          <w:iCs/>
          <w:lang w:eastAsia="en-US"/>
        </w:rPr>
        <w:t xml:space="preserve"> Эмитент завершил строительство части проектов и определил финансовый результат по их реализации, что привело к некоторому сокращению балансовой стоимости активов и росту выручки Эмитента. Показатель продемонстрировал положительную динамику.</w:t>
      </w:r>
    </w:p>
    <w:p w:rsidR="0060155C" w:rsidRPr="0060155C" w:rsidRDefault="0060155C" w:rsidP="0060155C">
      <w:pPr>
        <w:pStyle w:val="a9"/>
        <w:widowControl/>
        <w:spacing w:before="0" w:after="0"/>
        <w:jc w:val="both"/>
        <w:rPr>
          <w:b/>
          <w:bCs/>
          <w:i/>
          <w:iCs/>
          <w:u w:color="000000"/>
        </w:rPr>
      </w:pPr>
    </w:p>
    <w:p w:rsidR="00CC689E" w:rsidRPr="00617549" w:rsidRDefault="00CC689E" w:rsidP="00CC689E">
      <w:pPr>
        <w:pStyle w:val="a9"/>
        <w:widowControl/>
        <w:spacing w:before="60" w:after="60"/>
        <w:ind w:left="0" w:firstLine="539"/>
        <w:jc w:val="both"/>
        <w:rPr>
          <w:rFonts w:ascii="TimesNewRomanPS-BoldItalicMT" w:eastAsiaTheme="minorHAnsi" w:hAnsi="TimesNewRomanPS-BoldItalicMT" w:cs="TimesNewRomanPS-BoldItalicMT"/>
          <w:b/>
          <w:bCs/>
          <w:i/>
          <w:iCs/>
          <w:lang w:eastAsia="en-US"/>
        </w:rPr>
      </w:pPr>
      <w:r w:rsidRPr="00FD5BEB">
        <w:rPr>
          <w:rFonts w:ascii="Times New Roman,BoldItalic" w:eastAsiaTheme="minorHAnsi" w:hAnsi="Times New Roman,BoldItalic" w:cs="Times New Roman,BoldItalic"/>
          <w:b/>
          <w:bCs/>
          <w:i/>
          <w:iCs/>
          <w:u w:val="single"/>
          <w:lang w:eastAsia="en-US"/>
        </w:rPr>
        <w:t>Показатель «Рентабельность активов»</w:t>
      </w:r>
      <w:r w:rsidRPr="00334858">
        <w:rPr>
          <w:b/>
          <w:color w:val="000000"/>
        </w:rPr>
        <w:t xml:space="preserve"> – </w:t>
      </w:r>
      <w:r w:rsidRPr="00617549">
        <w:rPr>
          <w:rFonts w:ascii="TimesNewRomanPS-BoldItalicMT" w:eastAsiaTheme="minorHAnsi" w:hAnsi="TimesNewRomanPS-BoldItalicMT" w:cs="TimesNewRomanPS-BoldItalicMT"/>
          <w:b/>
          <w:bCs/>
          <w:i/>
          <w:iCs/>
          <w:lang w:eastAsia="en-US"/>
        </w:rPr>
        <w:t>индикатор общей доходности и эффективности деятельности компании. Чем выше данный показатель, тем больше экономическая эффективность организации.</w:t>
      </w:r>
    </w:p>
    <w:p w:rsidR="00CC689E" w:rsidRDefault="00CC689E" w:rsidP="00CC689E">
      <w:pPr>
        <w:widowControl/>
        <w:spacing w:before="0" w:after="0"/>
        <w:ind w:firstLine="567"/>
        <w:jc w:val="both"/>
        <w:rPr>
          <w:rFonts w:ascii="TimesNewRomanPS-BoldItalicMT" w:eastAsiaTheme="minorHAnsi" w:hAnsi="TimesNewRomanPS-BoldItalicMT" w:cs="TimesNewRomanPS-BoldItalicMT"/>
          <w:b/>
          <w:bCs/>
          <w:i/>
          <w:iCs/>
          <w:lang w:eastAsia="en-US"/>
        </w:rPr>
      </w:pPr>
      <w:r w:rsidRPr="00F033C7">
        <w:rPr>
          <w:rFonts w:ascii="TimesNewRomanPS-BoldItalicMT" w:eastAsiaTheme="minorHAnsi" w:hAnsi="TimesNewRomanPS-BoldItalicMT" w:cs="TimesNewRomanPS-BoldItalicMT"/>
          <w:b/>
          <w:bCs/>
          <w:i/>
          <w:iCs/>
          <w:lang w:eastAsia="en-US"/>
        </w:rPr>
        <w:t xml:space="preserve">На протяжении всего анализируемого периода данный показатель показывает </w:t>
      </w:r>
      <w:r>
        <w:rPr>
          <w:rFonts w:ascii="TimesNewRomanPS-BoldItalicMT" w:eastAsiaTheme="minorHAnsi" w:hAnsi="TimesNewRomanPS-BoldItalicMT" w:cs="TimesNewRomanPS-BoldItalicMT"/>
          <w:b/>
          <w:bCs/>
          <w:i/>
          <w:iCs/>
          <w:lang w:eastAsia="en-US"/>
        </w:rPr>
        <w:t xml:space="preserve">разнонаправленную динамику </w:t>
      </w:r>
      <w:r w:rsidRPr="00F033C7">
        <w:rPr>
          <w:rFonts w:ascii="TimesNewRomanPS-BoldItalicMT" w:eastAsiaTheme="minorHAnsi" w:hAnsi="TimesNewRomanPS-BoldItalicMT" w:cs="TimesNewRomanPS-BoldItalicMT"/>
          <w:b/>
          <w:bCs/>
          <w:i/>
          <w:iCs/>
          <w:lang w:eastAsia="en-US"/>
        </w:rPr>
        <w:t>достигнув минимального значения по итогам 2014 года на уровне 3,96%</w:t>
      </w:r>
      <w:r>
        <w:rPr>
          <w:rFonts w:ascii="TimesNewRomanPS-BoldItalicMT" w:eastAsiaTheme="minorHAnsi" w:hAnsi="TimesNewRomanPS-BoldItalicMT" w:cs="TimesNewRomanPS-BoldItalicMT"/>
          <w:b/>
          <w:bCs/>
          <w:i/>
          <w:iCs/>
          <w:lang w:eastAsia="en-US"/>
        </w:rPr>
        <w:t xml:space="preserve"> и максимального в 2011 году на уровне 10,08%</w:t>
      </w:r>
      <w:r w:rsidRPr="00F033C7">
        <w:rPr>
          <w:rFonts w:ascii="TimesNewRomanPS-BoldItalicMT" w:eastAsiaTheme="minorHAnsi" w:hAnsi="TimesNewRomanPS-BoldItalicMT" w:cs="TimesNewRomanPS-BoldItalicMT"/>
          <w:b/>
          <w:bCs/>
          <w:i/>
          <w:iCs/>
          <w:lang w:eastAsia="en-US"/>
        </w:rPr>
        <w:t xml:space="preserve">. </w:t>
      </w:r>
      <w:r>
        <w:rPr>
          <w:rFonts w:ascii="TimesNewRomanPS-BoldItalicMT" w:eastAsiaTheme="minorHAnsi" w:hAnsi="TimesNewRomanPS-BoldItalicMT" w:cs="TimesNewRomanPS-BoldItalicMT"/>
          <w:b/>
          <w:bCs/>
          <w:i/>
          <w:iCs/>
          <w:lang w:eastAsia="en-US"/>
        </w:rPr>
        <w:t>Характер динамики обусловлен двумя факторами:</w:t>
      </w:r>
    </w:p>
    <w:p w:rsidR="00CC689E" w:rsidRDefault="00CC689E" w:rsidP="0081789B">
      <w:pPr>
        <w:pStyle w:val="a9"/>
        <w:widowControl/>
        <w:numPr>
          <w:ilvl w:val="0"/>
          <w:numId w:val="29"/>
        </w:numPr>
        <w:spacing w:before="0" w:after="0"/>
        <w:ind w:left="0" w:firstLine="567"/>
        <w:jc w:val="both"/>
        <w:rPr>
          <w:rFonts w:ascii="TimesNewRomanPS-BoldItalicMT" w:eastAsiaTheme="minorHAnsi" w:hAnsi="TimesNewRomanPS-BoldItalicMT" w:cs="TimesNewRomanPS-BoldItalicMT"/>
          <w:b/>
          <w:bCs/>
          <w:i/>
          <w:iCs/>
          <w:lang w:eastAsia="en-US"/>
        </w:rPr>
      </w:pPr>
      <w:r>
        <w:rPr>
          <w:rFonts w:ascii="TimesNewRomanPS-BoldItalicMT" w:eastAsiaTheme="minorHAnsi" w:hAnsi="TimesNewRomanPS-BoldItalicMT" w:cs="TimesNewRomanPS-BoldItalicMT"/>
          <w:b/>
          <w:bCs/>
          <w:i/>
          <w:iCs/>
          <w:lang w:eastAsia="en-US"/>
        </w:rPr>
        <w:t>Инвестиционная стадия бизнеса Эмитента в 2012 – 2013 годах: увеличение балансовой стоимости активов при относительно стабильном размере выручки и чистой прибыли. Определение финансового результата по завершению строительства проектов в 2014 – 2015 годах: рост выручки и сокращение балансовой стоимости активов.</w:t>
      </w:r>
    </w:p>
    <w:p w:rsidR="00CC689E" w:rsidRPr="00FE2534" w:rsidRDefault="00CC689E" w:rsidP="0081789B">
      <w:pPr>
        <w:pStyle w:val="a9"/>
        <w:widowControl/>
        <w:numPr>
          <w:ilvl w:val="0"/>
          <w:numId w:val="29"/>
        </w:numPr>
        <w:spacing w:before="0" w:after="0"/>
        <w:ind w:left="0" w:firstLine="567"/>
        <w:jc w:val="both"/>
        <w:rPr>
          <w:rFonts w:ascii="TimesNewRomanPS-BoldItalicMT" w:eastAsiaTheme="minorHAnsi" w:hAnsi="TimesNewRomanPS-BoldItalicMT" w:cs="TimesNewRomanPS-BoldItalicMT"/>
          <w:b/>
          <w:bCs/>
          <w:i/>
          <w:iCs/>
          <w:lang w:eastAsia="en-US"/>
        </w:rPr>
      </w:pPr>
      <w:r>
        <w:rPr>
          <w:rFonts w:ascii="TimesNewRomanPS-BoldItalicMT" w:eastAsiaTheme="minorHAnsi" w:hAnsi="TimesNewRomanPS-BoldItalicMT" w:cs="TimesNewRomanPS-BoldItalicMT"/>
          <w:b/>
          <w:bCs/>
          <w:i/>
          <w:iCs/>
          <w:lang w:eastAsia="en-US"/>
        </w:rPr>
        <w:t xml:space="preserve">В 2014 году Эмитент завершил основной этап работ </w:t>
      </w:r>
      <w:r>
        <w:rPr>
          <w:rFonts w:ascii="Times New Roman,BoldItalic" w:eastAsiaTheme="minorHAnsi" w:hAnsi="Times New Roman,BoldItalic" w:cs="Times New Roman,BoldItalic"/>
          <w:b/>
          <w:bCs/>
          <w:i/>
          <w:iCs/>
          <w:lang w:eastAsia="en-US"/>
        </w:rPr>
        <w:t>по проекту «Конгрессно-выставочный центр»</w:t>
      </w:r>
      <w:r w:rsidRPr="00B7535E">
        <w:rPr>
          <w:rFonts w:ascii="Times New Roman,BoldItalic" w:eastAsiaTheme="minorHAnsi" w:hAnsi="Times New Roman,BoldItalic" w:cs="Times New Roman,BoldItalic"/>
          <w:b/>
          <w:bCs/>
          <w:i/>
          <w:iCs/>
          <w:lang w:eastAsia="en-US"/>
        </w:rPr>
        <w:t xml:space="preserve"> (Заказчик – ЗАО «ЭкспоФорум»)</w:t>
      </w:r>
      <w:r>
        <w:rPr>
          <w:rFonts w:ascii="Times New Roman,BoldItalic" w:eastAsiaTheme="minorHAnsi" w:hAnsi="Times New Roman,BoldItalic" w:cs="Times New Roman,BoldItalic"/>
          <w:b/>
          <w:bCs/>
          <w:i/>
          <w:iCs/>
          <w:lang w:eastAsia="en-US"/>
        </w:rPr>
        <w:t>, где исполнял функции Генерального подрядчика. В</w:t>
      </w:r>
      <w:r w:rsidRPr="00B7535E">
        <w:rPr>
          <w:rFonts w:ascii="Times New Roman,BoldItalic" w:eastAsiaTheme="minorHAnsi" w:hAnsi="Times New Roman,BoldItalic" w:cs="Times New Roman,BoldItalic"/>
          <w:b/>
          <w:bCs/>
          <w:i/>
          <w:iCs/>
          <w:lang w:eastAsia="en-US"/>
        </w:rPr>
        <w:t xml:space="preserve">ыручка по </w:t>
      </w:r>
      <w:r>
        <w:rPr>
          <w:rFonts w:ascii="Times New Roman,BoldItalic" w:eastAsiaTheme="minorHAnsi" w:hAnsi="Times New Roman,BoldItalic" w:cs="Times New Roman,BoldItalic"/>
          <w:b/>
          <w:bCs/>
          <w:i/>
          <w:iCs/>
          <w:lang w:eastAsia="en-US"/>
        </w:rPr>
        <w:t>г</w:t>
      </w:r>
      <w:r w:rsidRPr="00B7535E">
        <w:rPr>
          <w:rFonts w:ascii="Times New Roman,BoldItalic" w:eastAsiaTheme="minorHAnsi" w:hAnsi="Times New Roman,BoldItalic" w:cs="Times New Roman,BoldItalic"/>
          <w:b/>
          <w:bCs/>
          <w:i/>
          <w:iCs/>
          <w:lang w:eastAsia="en-US"/>
        </w:rPr>
        <w:t>енподрядным услугам и переданным заказчику выполненным строительно</w:t>
      </w:r>
      <w:r w:rsidRPr="00B7535E">
        <w:rPr>
          <w:rFonts w:eastAsiaTheme="minorHAnsi"/>
          <w:b/>
          <w:bCs/>
          <w:i/>
          <w:iCs/>
          <w:lang w:eastAsia="en-US"/>
        </w:rPr>
        <w:t>-</w:t>
      </w:r>
      <w:r w:rsidRPr="00B7535E">
        <w:rPr>
          <w:rFonts w:ascii="Times New Roman,BoldItalic" w:eastAsiaTheme="minorHAnsi" w:hAnsi="Times New Roman,BoldItalic" w:cs="Times New Roman,BoldItalic"/>
          <w:b/>
          <w:bCs/>
          <w:i/>
          <w:iCs/>
          <w:lang w:eastAsia="en-US"/>
        </w:rPr>
        <w:t xml:space="preserve">монтажным работам по проекту </w:t>
      </w:r>
      <w:r>
        <w:rPr>
          <w:rFonts w:ascii="Times New Roman,BoldItalic" w:eastAsiaTheme="minorHAnsi" w:hAnsi="Times New Roman,BoldItalic" w:cs="Times New Roman,BoldItalic"/>
          <w:b/>
          <w:bCs/>
          <w:i/>
          <w:iCs/>
          <w:lang w:eastAsia="en-US"/>
        </w:rPr>
        <w:t xml:space="preserve">достигла, в 2014 году, </w:t>
      </w:r>
      <w:r w:rsidRPr="00B7535E">
        <w:rPr>
          <w:rFonts w:ascii="Times New Roman,BoldItalic" w:eastAsiaTheme="minorHAnsi" w:hAnsi="Times New Roman,BoldItalic" w:cs="Times New Roman,BoldItalic"/>
          <w:b/>
          <w:bCs/>
          <w:i/>
          <w:iCs/>
          <w:lang w:eastAsia="en-US"/>
        </w:rPr>
        <w:t xml:space="preserve">9 </w:t>
      </w:r>
      <w:r>
        <w:rPr>
          <w:rFonts w:ascii="Times New Roman,BoldItalic" w:eastAsiaTheme="minorHAnsi" w:hAnsi="Times New Roman,BoldItalic" w:cs="Times New Roman,BoldItalic"/>
          <w:b/>
          <w:bCs/>
          <w:i/>
          <w:iCs/>
          <w:lang w:eastAsia="en-US"/>
        </w:rPr>
        <w:t>830</w:t>
      </w:r>
      <w:r w:rsidRPr="00B7535E">
        <w:rPr>
          <w:rFonts w:ascii="Times New Roman,BoldItalic" w:eastAsiaTheme="minorHAnsi" w:hAnsi="Times New Roman,BoldItalic" w:cs="Times New Roman,BoldItalic"/>
          <w:b/>
          <w:bCs/>
          <w:i/>
          <w:iCs/>
          <w:lang w:eastAsia="en-US"/>
        </w:rPr>
        <w:t xml:space="preserve"> </w:t>
      </w:r>
      <w:r>
        <w:rPr>
          <w:rFonts w:ascii="Times New Roman,BoldItalic" w:eastAsiaTheme="minorHAnsi" w:hAnsi="Times New Roman,BoldItalic" w:cs="Times New Roman,BoldItalic"/>
          <w:b/>
          <w:bCs/>
          <w:i/>
          <w:iCs/>
          <w:lang w:eastAsia="en-US"/>
        </w:rPr>
        <w:t>млн.</w:t>
      </w:r>
      <w:r w:rsidRPr="00B7535E">
        <w:rPr>
          <w:rFonts w:ascii="Times New Roman,BoldItalic" w:eastAsiaTheme="minorHAnsi" w:hAnsi="Times New Roman,BoldItalic" w:cs="Times New Roman,BoldItalic"/>
          <w:b/>
          <w:bCs/>
          <w:i/>
          <w:iCs/>
          <w:lang w:eastAsia="en-US"/>
        </w:rPr>
        <w:t xml:space="preserve"> рублей, что состав</w:t>
      </w:r>
      <w:r>
        <w:rPr>
          <w:rFonts w:ascii="Times New Roman,BoldItalic" w:eastAsiaTheme="minorHAnsi" w:hAnsi="Times New Roman,BoldItalic" w:cs="Times New Roman,BoldItalic"/>
          <w:b/>
          <w:bCs/>
          <w:i/>
          <w:iCs/>
          <w:lang w:eastAsia="en-US"/>
        </w:rPr>
        <w:t>ило</w:t>
      </w:r>
      <w:r w:rsidRPr="00B7535E">
        <w:rPr>
          <w:rFonts w:ascii="Times New Roman,BoldItalic" w:eastAsiaTheme="minorHAnsi" w:hAnsi="Times New Roman,BoldItalic" w:cs="Times New Roman,BoldItalic"/>
          <w:b/>
          <w:bCs/>
          <w:i/>
          <w:iCs/>
          <w:lang w:eastAsia="en-US"/>
        </w:rPr>
        <w:t xml:space="preserve"> </w:t>
      </w:r>
      <w:r>
        <w:rPr>
          <w:rFonts w:ascii="Times New Roman,BoldItalic" w:eastAsiaTheme="minorHAnsi" w:hAnsi="Times New Roman,BoldItalic" w:cs="Times New Roman,BoldItalic"/>
          <w:b/>
          <w:bCs/>
          <w:i/>
          <w:iCs/>
          <w:lang w:eastAsia="en-US"/>
        </w:rPr>
        <w:t>45%</w:t>
      </w:r>
      <w:r w:rsidRPr="00B7535E">
        <w:rPr>
          <w:rFonts w:ascii="Times New Roman,BoldItalic" w:eastAsiaTheme="minorHAnsi" w:hAnsi="Times New Roman,BoldItalic" w:cs="Times New Roman,BoldItalic"/>
          <w:b/>
          <w:bCs/>
          <w:i/>
          <w:iCs/>
          <w:lang w:eastAsia="en-US"/>
        </w:rPr>
        <w:t xml:space="preserve"> от валовой выручки 2014 года.</w:t>
      </w:r>
      <w:r>
        <w:rPr>
          <w:rFonts w:ascii="Times New Roman,BoldItalic" w:eastAsiaTheme="minorHAnsi" w:hAnsi="Times New Roman,BoldItalic" w:cs="Times New Roman,BoldItalic"/>
          <w:b/>
          <w:bCs/>
          <w:i/>
          <w:iCs/>
          <w:lang w:eastAsia="en-US"/>
        </w:rPr>
        <w:t xml:space="preserve"> Однако, при существенном росте выручки по итогам 2014 года чистая прибыль Эмитента несколько сократилась в сравнении с 2013 годом в связи с низкой рентабельностью данного проекта по сравнению с основной деятельностью Эмитента – жилищным строительством.</w:t>
      </w:r>
    </w:p>
    <w:p w:rsidR="00A06BCF" w:rsidRDefault="00A06BCF" w:rsidP="00CC689E">
      <w:pPr>
        <w:pStyle w:val="ad"/>
        <w:spacing w:before="60" w:beforeAutospacing="0" w:after="60" w:afterAutospacing="0"/>
        <w:ind w:left="0" w:firstLine="539"/>
        <w:rPr>
          <w:rFonts w:ascii="Times New Roman,BoldItalic" w:eastAsiaTheme="minorHAnsi" w:hAnsi="Times New Roman,BoldItalic" w:cs="Times New Roman,BoldItalic"/>
          <w:b/>
          <w:bCs/>
          <w:i/>
          <w:iCs/>
          <w:sz w:val="20"/>
          <w:szCs w:val="20"/>
          <w:u w:val="single"/>
          <w:lang w:eastAsia="en-US"/>
        </w:rPr>
      </w:pPr>
    </w:p>
    <w:p w:rsidR="00CC689E" w:rsidRDefault="00CC689E" w:rsidP="00CC689E">
      <w:pPr>
        <w:pStyle w:val="ad"/>
        <w:spacing w:before="60" w:beforeAutospacing="0" w:after="60" w:afterAutospacing="0"/>
        <w:ind w:left="0" w:firstLine="539"/>
        <w:rPr>
          <w:rFonts w:ascii="TimesNewRomanPS-BoldItalicMT" w:eastAsiaTheme="minorHAnsi" w:hAnsi="TimesNewRomanPS-BoldItalicMT" w:cs="TimesNewRomanPS-BoldItalicMT"/>
          <w:b/>
          <w:bCs/>
          <w:i/>
          <w:iCs/>
          <w:sz w:val="20"/>
          <w:szCs w:val="20"/>
          <w:lang w:eastAsia="en-US"/>
        </w:rPr>
      </w:pPr>
      <w:r w:rsidRPr="00122E85">
        <w:rPr>
          <w:rFonts w:ascii="Times New Roman,BoldItalic" w:eastAsiaTheme="minorHAnsi" w:hAnsi="Times New Roman,BoldItalic" w:cs="Times New Roman,BoldItalic"/>
          <w:b/>
          <w:bCs/>
          <w:i/>
          <w:iCs/>
          <w:sz w:val="20"/>
          <w:szCs w:val="20"/>
          <w:u w:val="single"/>
          <w:lang w:eastAsia="en-US"/>
        </w:rPr>
        <w:t xml:space="preserve">Показатель «Рентабельность собственного капитала» </w:t>
      </w:r>
      <w:r w:rsidRPr="00122E85">
        <w:rPr>
          <w:rFonts w:ascii="TimesNewRomanPS-BoldItalicMT" w:eastAsiaTheme="minorHAnsi" w:hAnsi="TimesNewRomanPS-BoldItalicMT" w:cs="TimesNewRomanPS-BoldItalicMT"/>
          <w:b/>
          <w:bCs/>
          <w:i/>
          <w:iCs/>
          <w:sz w:val="20"/>
          <w:szCs w:val="20"/>
          <w:lang w:eastAsia="en-US"/>
        </w:rPr>
        <w:t xml:space="preserve">показывает эффективность использования вложенного собственниками капитала. Рост показателя характеризует положительную динамику. </w:t>
      </w:r>
    </w:p>
    <w:p w:rsidR="00CC689E" w:rsidRDefault="00CC689E" w:rsidP="00CC689E">
      <w:pPr>
        <w:pStyle w:val="ad"/>
        <w:spacing w:before="60" w:beforeAutospacing="0" w:after="60" w:afterAutospacing="0"/>
        <w:ind w:left="0" w:firstLine="539"/>
        <w:rPr>
          <w:rFonts w:ascii="TimesNewRomanPS-BoldItalicMT" w:eastAsiaTheme="minorHAnsi" w:hAnsi="TimesNewRomanPS-BoldItalicMT" w:cs="TimesNewRomanPS-BoldItalicMT"/>
          <w:b/>
          <w:bCs/>
          <w:i/>
          <w:iCs/>
          <w:sz w:val="20"/>
          <w:szCs w:val="20"/>
          <w:lang w:eastAsia="en-US"/>
        </w:rPr>
      </w:pPr>
      <w:r>
        <w:rPr>
          <w:rFonts w:ascii="TimesNewRomanPS-BoldItalicMT" w:eastAsiaTheme="minorHAnsi" w:hAnsi="TimesNewRomanPS-BoldItalicMT" w:cs="TimesNewRomanPS-BoldItalicMT"/>
          <w:b/>
          <w:bCs/>
          <w:i/>
          <w:iCs/>
          <w:sz w:val="20"/>
          <w:szCs w:val="20"/>
          <w:lang w:eastAsia="en-US"/>
        </w:rPr>
        <w:t>Данный показатель на протяжении всего анализируемого периода имеет аналогичную с предыдущим показателем разнонаправленную динамику, с минимальным значением достигнутом в 2014 году на уровне 12,72% и своего максимального значения в 2011 году на уровне 38,17%.</w:t>
      </w:r>
    </w:p>
    <w:p w:rsidR="00CC689E" w:rsidRPr="00122E85" w:rsidRDefault="00CC689E" w:rsidP="00CC689E">
      <w:pPr>
        <w:pStyle w:val="ad"/>
        <w:spacing w:before="60" w:beforeAutospacing="0" w:after="60" w:afterAutospacing="0"/>
        <w:ind w:left="0" w:firstLine="539"/>
        <w:rPr>
          <w:rFonts w:ascii="TimesNewRomanPS-BoldItalicMT" w:eastAsiaTheme="minorHAnsi" w:hAnsi="TimesNewRomanPS-BoldItalicMT" w:cs="TimesNewRomanPS-BoldItalicMT"/>
          <w:b/>
          <w:bCs/>
          <w:i/>
          <w:iCs/>
          <w:sz w:val="20"/>
          <w:szCs w:val="20"/>
          <w:lang w:eastAsia="en-US"/>
        </w:rPr>
      </w:pPr>
      <w:r>
        <w:rPr>
          <w:rFonts w:ascii="TimesNewRomanPS-BoldItalicMT" w:eastAsiaTheme="minorHAnsi" w:hAnsi="TimesNewRomanPS-BoldItalicMT" w:cs="TimesNewRomanPS-BoldItalicMT"/>
          <w:b/>
          <w:bCs/>
          <w:i/>
          <w:iCs/>
          <w:sz w:val="20"/>
          <w:szCs w:val="20"/>
          <w:lang w:eastAsia="en-US"/>
        </w:rPr>
        <w:t xml:space="preserve">Необходимо отметить, что, основную долю в структуре собственного капитала Эмитента составляет нераспределённая прибыль. Акционеры Эмитента на протяжении практически всего существования Эмитента не </w:t>
      </w:r>
      <w:r w:rsidR="00787E07" w:rsidRPr="00DC3EF7">
        <w:rPr>
          <w:rFonts w:ascii="TimesNewRomanPS-BoldItalicMT" w:eastAsiaTheme="minorHAnsi" w:hAnsi="TimesNewRomanPS-BoldItalicMT" w:cs="TimesNewRomanPS-BoldItalicMT"/>
          <w:b/>
          <w:bCs/>
          <w:i/>
          <w:iCs/>
          <w:sz w:val="20"/>
          <w:szCs w:val="20"/>
          <w:lang w:eastAsia="en-US"/>
        </w:rPr>
        <w:t xml:space="preserve">принимали решение о </w:t>
      </w:r>
      <w:r w:rsidR="00787E07">
        <w:rPr>
          <w:rFonts w:ascii="TimesNewRomanPS-BoldItalicMT" w:eastAsiaTheme="minorHAnsi" w:hAnsi="TimesNewRomanPS-BoldItalicMT" w:cs="TimesNewRomanPS-BoldItalicMT"/>
          <w:b/>
          <w:bCs/>
          <w:i/>
          <w:iCs/>
          <w:sz w:val="20"/>
          <w:szCs w:val="20"/>
          <w:lang w:eastAsia="en-US"/>
        </w:rPr>
        <w:t>направлении прибыли на</w:t>
      </w:r>
      <w:r>
        <w:rPr>
          <w:rFonts w:ascii="TimesNewRomanPS-BoldItalicMT" w:eastAsiaTheme="minorHAnsi" w:hAnsi="TimesNewRomanPS-BoldItalicMT" w:cs="TimesNewRomanPS-BoldItalicMT"/>
          <w:b/>
          <w:bCs/>
          <w:i/>
          <w:iCs/>
          <w:sz w:val="20"/>
          <w:szCs w:val="20"/>
          <w:lang w:eastAsia="en-US"/>
        </w:rPr>
        <w:t xml:space="preserve"> выпла</w:t>
      </w:r>
      <w:r w:rsidR="00787E07">
        <w:rPr>
          <w:rFonts w:ascii="TimesNewRomanPS-BoldItalicMT" w:eastAsiaTheme="minorHAnsi" w:hAnsi="TimesNewRomanPS-BoldItalicMT" w:cs="TimesNewRomanPS-BoldItalicMT"/>
          <w:b/>
          <w:bCs/>
          <w:i/>
          <w:iCs/>
          <w:sz w:val="20"/>
          <w:szCs w:val="20"/>
          <w:lang w:eastAsia="en-US"/>
        </w:rPr>
        <w:t>ту</w:t>
      </w:r>
      <w:r>
        <w:rPr>
          <w:rFonts w:ascii="TimesNewRomanPS-BoldItalicMT" w:eastAsiaTheme="minorHAnsi" w:hAnsi="TimesNewRomanPS-BoldItalicMT" w:cs="TimesNewRomanPS-BoldItalicMT"/>
          <w:b/>
          <w:bCs/>
          <w:i/>
          <w:iCs/>
          <w:sz w:val="20"/>
          <w:szCs w:val="20"/>
          <w:lang w:eastAsia="en-US"/>
        </w:rPr>
        <w:t xml:space="preserve"> дивиденд</w:t>
      </w:r>
      <w:r w:rsidR="00E82CE3">
        <w:rPr>
          <w:rFonts w:ascii="TimesNewRomanPS-BoldItalicMT" w:eastAsiaTheme="minorHAnsi" w:hAnsi="TimesNewRomanPS-BoldItalicMT" w:cs="TimesNewRomanPS-BoldItalicMT"/>
          <w:b/>
          <w:bCs/>
          <w:i/>
          <w:iCs/>
          <w:sz w:val="20"/>
          <w:szCs w:val="20"/>
          <w:lang w:eastAsia="en-US"/>
        </w:rPr>
        <w:t>ов</w:t>
      </w:r>
      <w:r>
        <w:rPr>
          <w:rFonts w:ascii="TimesNewRomanPS-BoldItalicMT" w:eastAsiaTheme="minorHAnsi" w:hAnsi="TimesNewRomanPS-BoldItalicMT" w:cs="TimesNewRomanPS-BoldItalicMT"/>
          <w:b/>
          <w:bCs/>
          <w:i/>
          <w:iCs/>
          <w:sz w:val="20"/>
          <w:szCs w:val="20"/>
          <w:lang w:eastAsia="en-US"/>
        </w:rPr>
        <w:t>, а направляли всю прибыль на развитие Эмитента. Таким образом, динамика «Рентабельности собственного капитала» за период 2011 – 2015 годы аналогична динамике чистой прибыли Эмитента за период.</w:t>
      </w:r>
    </w:p>
    <w:p w:rsidR="00CC689E" w:rsidRPr="004836B3" w:rsidRDefault="00CC689E" w:rsidP="00ED408B">
      <w:pPr>
        <w:pStyle w:val="ad"/>
        <w:spacing w:before="60" w:beforeAutospacing="0" w:after="60" w:afterAutospacing="0"/>
        <w:ind w:left="0" w:firstLine="539"/>
        <w:rPr>
          <w:rFonts w:ascii="TimesNewRomanPS-BoldItalicMT" w:eastAsiaTheme="minorHAnsi" w:hAnsi="TimesNewRomanPS-BoldItalicMT" w:cs="TimesNewRomanPS-BoldItalicMT"/>
          <w:b/>
          <w:bCs/>
          <w:i/>
          <w:iCs/>
          <w:sz w:val="20"/>
          <w:szCs w:val="20"/>
          <w:lang w:eastAsia="en-US"/>
        </w:rPr>
      </w:pPr>
      <w:r>
        <w:rPr>
          <w:rFonts w:ascii="TimesNewRomanPS-BoldItalicMT" w:eastAsiaTheme="minorHAnsi" w:hAnsi="TimesNewRomanPS-BoldItalicMT" w:cs="TimesNewRomanPS-BoldItalicMT"/>
          <w:b/>
          <w:bCs/>
          <w:i/>
          <w:iCs/>
          <w:sz w:val="20"/>
          <w:szCs w:val="20"/>
          <w:lang w:eastAsia="en-US"/>
        </w:rPr>
        <w:t>Однако п</w:t>
      </w:r>
      <w:r w:rsidRPr="004836B3">
        <w:rPr>
          <w:rFonts w:ascii="TimesNewRomanPS-BoldItalicMT" w:eastAsiaTheme="minorHAnsi" w:hAnsi="TimesNewRomanPS-BoldItalicMT" w:cs="TimesNewRomanPS-BoldItalicMT"/>
          <w:b/>
          <w:bCs/>
          <w:i/>
          <w:iCs/>
          <w:sz w:val="20"/>
          <w:szCs w:val="20"/>
          <w:lang w:eastAsia="en-US"/>
        </w:rPr>
        <w:t xml:space="preserve">о итогам 2015 года произошло резкое увеличение показателя </w:t>
      </w:r>
      <w:r w:rsidR="00ED408B">
        <w:rPr>
          <w:rFonts w:ascii="TimesNewRomanPS-BoldItalicMT" w:eastAsiaTheme="minorHAnsi" w:hAnsi="TimesNewRomanPS-BoldItalicMT" w:cs="TimesNewRomanPS-BoldItalicMT"/>
          <w:b/>
          <w:bCs/>
          <w:i/>
          <w:iCs/>
          <w:sz w:val="20"/>
          <w:szCs w:val="20"/>
          <w:lang w:eastAsia="en-US"/>
        </w:rPr>
        <w:t xml:space="preserve">«Рентабельности собственного капитала» </w:t>
      </w:r>
      <w:r w:rsidRPr="004836B3">
        <w:rPr>
          <w:rFonts w:ascii="TimesNewRomanPS-BoldItalicMT" w:eastAsiaTheme="minorHAnsi" w:hAnsi="TimesNewRomanPS-BoldItalicMT" w:cs="TimesNewRomanPS-BoldItalicMT"/>
          <w:b/>
          <w:bCs/>
          <w:i/>
          <w:iCs/>
          <w:sz w:val="20"/>
          <w:szCs w:val="20"/>
          <w:lang w:eastAsia="en-US"/>
        </w:rPr>
        <w:t>из-за опережающего роста чистой прибыли по сравнению с ростом собственного капитала за аналогичный период (+96% и +19%</w:t>
      </w:r>
      <w:r>
        <w:rPr>
          <w:rFonts w:ascii="TimesNewRomanPS-BoldItalicMT" w:eastAsiaTheme="minorHAnsi" w:hAnsi="TimesNewRomanPS-BoldItalicMT" w:cs="TimesNewRomanPS-BoldItalicMT"/>
          <w:b/>
          <w:bCs/>
          <w:i/>
          <w:iCs/>
          <w:sz w:val="20"/>
          <w:szCs w:val="20"/>
          <w:lang w:eastAsia="en-US"/>
        </w:rPr>
        <w:t>,</w:t>
      </w:r>
      <w:r w:rsidRPr="004836B3">
        <w:rPr>
          <w:rFonts w:ascii="TimesNewRomanPS-BoldItalicMT" w:eastAsiaTheme="minorHAnsi" w:hAnsi="TimesNewRomanPS-BoldItalicMT" w:cs="TimesNewRomanPS-BoldItalicMT"/>
          <w:b/>
          <w:bCs/>
          <w:i/>
          <w:iCs/>
          <w:sz w:val="20"/>
          <w:szCs w:val="20"/>
          <w:lang w:eastAsia="en-US"/>
        </w:rPr>
        <w:t xml:space="preserve"> соответственно).</w:t>
      </w:r>
      <w:r w:rsidR="00ED408B">
        <w:rPr>
          <w:rFonts w:ascii="TimesNewRomanPS-BoldItalicMT" w:eastAsiaTheme="minorHAnsi" w:hAnsi="TimesNewRomanPS-BoldItalicMT" w:cs="TimesNewRomanPS-BoldItalicMT"/>
          <w:b/>
          <w:bCs/>
          <w:i/>
          <w:iCs/>
          <w:sz w:val="20"/>
          <w:szCs w:val="20"/>
          <w:lang w:eastAsia="en-US"/>
        </w:rPr>
        <w:t xml:space="preserve"> </w:t>
      </w:r>
      <w:r>
        <w:rPr>
          <w:rFonts w:ascii="TimesNewRomanPS-BoldItalicMT" w:eastAsiaTheme="minorHAnsi" w:hAnsi="TimesNewRomanPS-BoldItalicMT" w:cs="TimesNewRomanPS-BoldItalicMT"/>
          <w:b/>
          <w:bCs/>
          <w:i/>
          <w:iCs/>
          <w:sz w:val="20"/>
          <w:szCs w:val="20"/>
          <w:lang w:eastAsia="en-US"/>
        </w:rPr>
        <w:t>П</w:t>
      </w:r>
      <w:r w:rsidRPr="004836B3">
        <w:rPr>
          <w:rFonts w:ascii="TimesNewRomanPS-BoldItalicMT" w:eastAsiaTheme="minorHAnsi" w:hAnsi="TimesNewRomanPS-BoldItalicMT" w:cs="TimesNewRomanPS-BoldItalicMT"/>
          <w:b/>
          <w:bCs/>
          <w:i/>
          <w:iCs/>
          <w:sz w:val="20"/>
          <w:szCs w:val="20"/>
          <w:lang w:eastAsia="en-US"/>
        </w:rPr>
        <w:t>ричин</w:t>
      </w:r>
      <w:r>
        <w:rPr>
          <w:rFonts w:ascii="TimesNewRomanPS-BoldItalicMT" w:eastAsiaTheme="minorHAnsi" w:hAnsi="TimesNewRomanPS-BoldItalicMT" w:cs="TimesNewRomanPS-BoldItalicMT"/>
          <w:b/>
          <w:bCs/>
          <w:i/>
          <w:iCs/>
          <w:sz w:val="20"/>
          <w:szCs w:val="20"/>
          <w:lang w:eastAsia="en-US"/>
        </w:rPr>
        <w:t>а</w:t>
      </w:r>
      <w:r w:rsidRPr="004836B3">
        <w:rPr>
          <w:rFonts w:ascii="TimesNewRomanPS-BoldItalicMT" w:eastAsiaTheme="minorHAnsi" w:hAnsi="TimesNewRomanPS-BoldItalicMT" w:cs="TimesNewRomanPS-BoldItalicMT"/>
          <w:b/>
          <w:bCs/>
          <w:i/>
          <w:iCs/>
          <w:sz w:val="20"/>
          <w:szCs w:val="20"/>
          <w:lang w:eastAsia="en-US"/>
        </w:rPr>
        <w:t xml:space="preserve"> </w:t>
      </w:r>
      <w:r>
        <w:rPr>
          <w:rFonts w:ascii="TimesNewRomanPS-BoldItalicMT" w:eastAsiaTheme="minorHAnsi" w:hAnsi="TimesNewRomanPS-BoldItalicMT" w:cs="TimesNewRomanPS-BoldItalicMT"/>
          <w:b/>
          <w:bCs/>
          <w:i/>
          <w:iCs/>
          <w:sz w:val="20"/>
          <w:szCs w:val="20"/>
          <w:lang w:eastAsia="en-US"/>
        </w:rPr>
        <w:t>роста показателя</w:t>
      </w:r>
      <w:r w:rsidRPr="004836B3">
        <w:rPr>
          <w:rFonts w:ascii="TimesNewRomanPS-BoldItalicMT" w:eastAsiaTheme="minorHAnsi" w:hAnsi="TimesNewRomanPS-BoldItalicMT" w:cs="TimesNewRomanPS-BoldItalicMT"/>
          <w:b/>
          <w:bCs/>
          <w:i/>
          <w:iCs/>
          <w:sz w:val="20"/>
          <w:szCs w:val="20"/>
          <w:lang w:eastAsia="en-US"/>
        </w:rPr>
        <w:t xml:space="preserve"> </w:t>
      </w:r>
      <w:r>
        <w:rPr>
          <w:rFonts w:ascii="TimesNewRomanPS-BoldItalicMT" w:eastAsiaTheme="minorHAnsi" w:hAnsi="TimesNewRomanPS-BoldItalicMT" w:cs="TimesNewRomanPS-BoldItalicMT"/>
          <w:b/>
          <w:bCs/>
          <w:i/>
          <w:iCs/>
          <w:sz w:val="20"/>
          <w:szCs w:val="20"/>
          <w:lang w:eastAsia="en-US"/>
        </w:rPr>
        <w:t xml:space="preserve">– выплата </w:t>
      </w:r>
      <w:r w:rsidRPr="004836B3">
        <w:rPr>
          <w:rFonts w:ascii="TimesNewRomanPS-BoldItalicMT" w:eastAsiaTheme="minorHAnsi" w:hAnsi="TimesNewRomanPS-BoldItalicMT" w:cs="TimesNewRomanPS-BoldItalicMT"/>
          <w:b/>
          <w:bCs/>
          <w:i/>
          <w:iCs/>
          <w:sz w:val="20"/>
          <w:szCs w:val="20"/>
          <w:lang w:eastAsia="en-US"/>
        </w:rPr>
        <w:t>Эмитент</w:t>
      </w:r>
      <w:r>
        <w:rPr>
          <w:rFonts w:ascii="TimesNewRomanPS-BoldItalicMT" w:eastAsiaTheme="minorHAnsi" w:hAnsi="TimesNewRomanPS-BoldItalicMT" w:cs="TimesNewRomanPS-BoldItalicMT"/>
          <w:b/>
          <w:bCs/>
          <w:i/>
          <w:iCs/>
          <w:sz w:val="20"/>
          <w:szCs w:val="20"/>
          <w:lang w:eastAsia="en-US"/>
        </w:rPr>
        <w:t xml:space="preserve">ом </w:t>
      </w:r>
      <w:r w:rsidRPr="004836B3">
        <w:rPr>
          <w:rFonts w:ascii="TimesNewRomanPS-BoldItalicMT" w:eastAsiaTheme="minorHAnsi" w:hAnsi="TimesNewRomanPS-BoldItalicMT" w:cs="TimesNewRomanPS-BoldItalicMT"/>
          <w:b/>
          <w:bCs/>
          <w:i/>
          <w:iCs/>
          <w:sz w:val="20"/>
          <w:szCs w:val="20"/>
          <w:lang w:eastAsia="en-US"/>
        </w:rPr>
        <w:t>дивидендов в размере 1 417 635 тыс. руб.</w:t>
      </w:r>
    </w:p>
    <w:p w:rsidR="000647F2" w:rsidRPr="00122E85" w:rsidRDefault="000647F2" w:rsidP="000647F2">
      <w:pPr>
        <w:widowControl/>
        <w:spacing w:before="0" w:after="0"/>
        <w:jc w:val="both"/>
        <w:rPr>
          <w:rFonts w:asciiTheme="minorHAnsi" w:eastAsiaTheme="minorHAnsi" w:hAnsiTheme="minorHAnsi" w:cs="TimesNewRomanPS-BoldItalicMT"/>
          <w:b/>
          <w:bCs/>
          <w:i/>
          <w:iCs/>
          <w:lang w:eastAsia="en-US"/>
        </w:rPr>
      </w:pPr>
    </w:p>
    <w:p w:rsidR="000647F2" w:rsidRPr="002B0A25" w:rsidRDefault="000647F2" w:rsidP="00CC689E">
      <w:pPr>
        <w:widowControl/>
        <w:spacing w:before="0" w:after="0"/>
        <w:ind w:firstLine="567"/>
        <w:jc w:val="both"/>
        <w:rPr>
          <w:rFonts w:ascii="TimesNewRomanPS-BoldItalicMT" w:eastAsiaTheme="minorHAnsi" w:hAnsi="TimesNewRomanPS-BoldItalicMT" w:cs="TimesNewRomanPS-BoldItalicMT"/>
          <w:b/>
          <w:bCs/>
          <w:i/>
          <w:iCs/>
          <w:lang w:eastAsia="en-US"/>
        </w:rPr>
      </w:pPr>
      <w:r w:rsidRPr="002B0A25">
        <w:rPr>
          <w:rFonts w:ascii="TimesNewRomanPS-BoldItalicMT" w:eastAsiaTheme="minorHAnsi" w:hAnsi="TimesNewRomanPS-BoldItalicMT" w:cs="TimesNewRomanPS-BoldItalicMT"/>
          <w:b/>
          <w:bCs/>
          <w:i/>
          <w:iCs/>
          <w:lang w:eastAsia="en-US"/>
        </w:rPr>
        <w:t xml:space="preserve">В рассматриваемом периоде убытки </w:t>
      </w:r>
      <w:r>
        <w:rPr>
          <w:rFonts w:ascii="TimesNewRomanPS-BoldItalicMT" w:eastAsiaTheme="minorHAnsi" w:hAnsi="TimesNewRomanPS-BoldItalicMT" w:cs="TimesNewRomanPS-BoldItalicMT"/>
          <w:b/>
          <w:bCs/>
          <w:i/>
          <w:iCs/>
          <w:lang w:eastAsia="en-US"/>
        </w:rPr>
        <w:t xml:space="preserve">у Эмитента </w:t>
      </w:r>
      <w:r w:rsidRPr="002B0A25">
        <w:rPr>
          <w:rFonts w:ascii="TimesNewRomanPS-BoldItalicMT" w:eastAsiaTheme="minorHAnsi" w:hAnsi="TimesNewRomanPS-BoldItalicMT" w:cs="TimesNewRomanPS-BoldItalicMT"/>
          <w:b/>
          <w:bCs/>
          <w:i/>
          <w:iCs/>
          <w:lang w:eastAsia="en-US"/>
        </w:rPr>
        <w:t>отсутствовал</w:t>
      </w:r>
      <w:r>
        <w:rPr>
          <w:rFonts w:ascii="TimesNewRomanPS-BoldItalicMT" w:eastAsiaTheme="minorHAnsi" w:hAnsi="TimesNewRomanPS-BoldItalicMT" w:cs="TimesNewRomanPS-BoldItalicMT"/>
          <w:b/>
          <w:bCs/>
          <w:i/>
          <w:iCs/>
          <w:lang w:eastAsia="en-US"/>
        </w:rPr>
        <w:t xml:space="preserve">и, соответственно, </w:t>
      </w:r>
      <w:r w:rsidRPr="002B0A25">
        <w:rPr>
          <w:rFonts w:ascii="Times New Roman,BoldItalic" w:eastAsiaTheme="minorHAnsi" w:hAnsi="Times New Roman,BoldItalic" w:cs="Times New Roman,BoldItalic"/>
          <w:b/>
          <w:bCs/>
          <w:i/>
          <w:iCs/>
          <w:u w:val="single"/>
          <w:lang w:eastAsia="en-US"/>
        </w:rPr>
        <w:t>показатели «Сумма непокрытого убытка на отчетную дату» и «Соотношение непокрытого убытка на отчетную дату и балансовой стоимости активов»</w:t>
      </w:r>
      <w:r>
        <w:rPr>
          <w:rFonts w:ascii="TimesNewRomanPS-BoldItalicMT" w:eastAsiaTheme="minorHAnsi" w:hAnsi="TimesNewRomanPS-BoldItalicMT" w:cs="TimesNewRomanPS-BoldItalicMT"/>
          <w:b/>
          <w:bCs/>
          <w:i/>
          <w:iCs/>
          <w:lang w:eastAsia="en-US"/>
        </w:rPr>
        <w:t xml:space="preserve"> р</w:t>
      </w:r>
      <w:r w:rsidRPr="002B0A25">
        <w:rPr>
          <w:rFonts w:ascii="TimesNewRomanPS-BoldItalicMT" w:eastAsiaTheme="minorHAnsi" w:hAnsi="TimesNewRomanPS-BoldItalicMT" w:cs="TimesNewRomanPS-BoldItalicMT"/>
          <w:b/>
          <w:bCs/>
          <w:i/>
          <w:iCs/>
          <w:lang w:eastAsia="en-US"/>
        </w:rPr>
        <w:t>авны нулю.</w:t>
      </w:r>
    </w:p>
    <w:p w:rsidR="000647F2" w:rsidRPr="00604120" w:rsidRDefault="000647F2" w:rsidP="000647F2">
      <w:pPr>
        <w:widowControl/>
        <w:spacing w:before="0" w:after="0"/>
        <w:rPr>
          <w:rFonts w:eastAsia="Calibri"/>
        </w:rPr>
      </w:pPr>
    </w:p>
    <w:p w:rsidR="000647F2" w:rsidRPr="00604120" w:rsidRDefault="000647F2" w:rsidP="0081789B">
      <w:pPr>
        <w:ind w:firstLine="567"/>
        <w:jc w:val="both"/>
        <w:rPr>
          <w:rFonts w:eastAsia="Calibri"/>
        </w:rPr>
      </w:pPr>
      <w:r w:rsidRPr="00604120">
        <w:rPr>
          <w:rFonts w:eastAsia="Calibri"/>
        </w:rPr>
        <w:t>Информация о причинах, которые, по мнению органов управления эмитента, привели к убыткам/прибыли эмитента, отраженным в бухгалтерской (финансовой) отчетности за пять завершенных отчетных лет, предшествующих дате утверждения проспекта ценных бумаг, либо за каждый завершенный отчетный год, если эмитент осуществляет свою деятельность менее пяти лет.</w:t>
      </w:r>
    </w:p>
    <w:p w:rsidR="000647F2" w:rsidRPr="00604120" w:rsidRDefault="000647F2" w:rsidP="000647F2">
      <w:pPr>
        <w:spacing w:before="120"/>
      </w:pPr>
    </w:p>
    <w:tbl>
      <w:tblPr>
        <w:tblW w:w="0" w:type="auto"/>
        <w:tblInd w:w="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7"/>
        <w:gridCol w:w="6756"/>
      </w:tblGrid>
      <w:tr w:rsidR="000647F2" w:rsidRPr="00604120" w:rsidTr="00B972FD">
        <w:tc>
          <w:tcPr>
            <w:tcW w:w="2600" w:type="dxa"/>
          </w:tcPr>
          <w:p w:rsidR="000647F2" w:rsidRPr="00604120" w:rsidRDefault="000647F2" w:rsidP="00B972FD">
            <w:pPr>
              <w:spacing w:before="120"/>
              <w:jc w:val="center"/>
            </w:pPr>
            <w:r w:rsidRPr="00604120">
              <w:t>Отчетный период</w:t>
            </w:r>
          </w:p>
        </w:tc>
        <w:tc>
          <w:tcPr>
            <w:tcW w:w="7100" w:type="dxa"/>
          </w:tcPr>
          <w:p w:rsidR="000647F2" w:rsidRPr="00604120" w:rsidRDefault="000647F2" w:rsidP="00B972FD">
            <w:pPr>
              <w:spacing w:before="120"/>
              <w:jc w:val="center"/>
            </w:pPr>
            <w:r w:rsidRPr="00604120">
              <w:t>Причины, приведшие к убыткам/прибыли компании</w:t>
            </w:r>
          </w:p>
        </w:tc>
      </w:tr>
      <w:tr w:rsidR="000647F2" w:rsidRPr="00604120" w:rsidTr="00B972FD">
        <w:tc>
          <w:tcPr>
            <w:tcW w:w="2600" w:type="dxa"/>
          </w:tcPr>
          <w:p w:rsidR="000647F2" w:rsidRPr="00BF5CDB" w:rsidRDefault="000647F2" w:rsidP="00B972FD">
            <w:pPr>
              <w:spacing w:before="120"/>
              <w:rPr>
                <w:rFonts w:ascii="Arial" w:hAnsi="Arial" w:cs="Arial"/>
                <w:b/>
                <w:highlight w:val="yellow"/>
              </w:rPr>
            </w:pPr>
            <w:r w:rsidRPr="00BF5CDB">
              <w:rPr>
                <w:rFonts w:ascii="Arial" w:hAnsi="Arial" w:cs="Arial"/>
                <w:b/>
              </w:rPr>
              <w:t>31.12.2011</w:t>
            </w:r>
          </w:p>
        </w:tc>
        <w:tc>
          <w:tcPr>
            <w:tcW w:w="7100" w:type="dxa"/>
          </w:tcPr>
          <w:p w:rsidR="000647F2" w:rsidRPr="00604120" w:rsidRDefault="002D565A" w:rsidP="002D565A">
            <w:pPr>
              <w:spacing w:before="120"/>
              <w:jc w:val="both"/>
            </w:pPr>
            <w:r w:rsidRPr="00FE2534">
              <w:rPr>
                <w:rFonts w:ascii="TimesNewRomanPS-BoldItalicMT" w:eastAsiaTheme="minorHAnsi" w:hAnsi="TimesNewRomanPS-BoldItalicMT" w:cs="TimesNewRomanPS-BoldItalicMT"/>
                <w:b/>
                <w:bCs/>
                <w:i/>
                <w:iCs/>
                <w:lang w:eastAsia="en-US"/>
              </w:rPr>
              <w:t xml:space="preserve">Чистая прибыль Эмитента в 2011 году сохранилась на сопоставимом с 2010 годом уровне. </w:t>
            </w:r>
            <w:r>
              <w:rPr>
                <w:rFonts w:ascii="TimesNewRomanPS-BoldItalicMT" w:eastAsiaTheme="minorHAnsi" w:hAnsi="TimesNewRomanPS-BoldItalicMT" w:cs="TimesNewRomanPS-BoldItalicMT"/>
                <w:b/>
                <w:bCs/>
                <w:i/>
                <w:iCs/>
                <w:lang w:eastAsia="en-US"/>
              </w:rPr>
              <w:t>Рост операционной прибыли был скомпенсирован снижением сальдо прочих доходов и расходов за счёт роста отрицательных курсовых разниц, а также увеличением расходов по уплате процентов.</w:t>
            </w:r>
          </w:p>
        </w:tc>
      </w:tr>
      <w:tr w:rsidR="000647F2" w:rsidRPr="00604120" w:rsidTr="00B972FD">
        <w:tc>
          <w:tcPr>
            <w:tcW w:w="2600" w:type="dxa"/>
          </w:tcPr>
          <w:p w:rsidR="000647F2" w:rsidRPr="00BF5CDB" w:rsidRDefault="000647F2" w:rsidP="00B972FD">
            <w:pPr>
              <w:spacing w:before="120"/>
              <w:rPr>
                <w:rFonts w:ascii="Arial" w:hAnsi="Arial" w:cs="Arial"/>
                <w:b/>
              </w:rPr>
            </w:pPr>
            <w:r w:rsidRPr="00BF5CDB">
              <w:rPr>
                <w:rFonts w:ascii="Arial" w:hAnsi="Arial" w:cs="Arial"/>
                <w:b/>
              </w:rPr>
              <w:t>31.12.2012</w:t>
            </w:r>
          </w:p>
        </w:tc>
        <w:tc>
          <w:tcPr>
            <w:tcW w:w="7100" w:type="dxa"/>
          </w:tcPr>
          <w:p w:rsidR="000647F2" w:rsidRPr="00604120" w:rsidRDefault="002D565A" w:rsidP="00B972FD">
            <w:pPr>
              <w:widowControl/>
              <w:spacing w:before="0" w:after="0"/>
              <w:jc w:val="both"/>
              <w:rPr>
                <w:b/>
              </w:rPr>
            </w:pPr>
            <w:r w:rsidRPr="003D3A67">
              <w:rPr>
                <w:rFonts w:ascii="TimesNewRomanPS-BoldItalicMT" w:eastAsiaTheme="minorHAnsi" w:hAnsi="TimesNewRomanPS-BoldItalicMT" w:cs="TimesNewRomanPS-BoldItalicMT"/>
                <w:b/>
                <w:bCs/>
                <w:i/>
                <w:iCs/>
                <w:lang w:eastAsia="en-US"/>
              </w:rPr>
              <w:t>Чистая прибыль Эмитента в 201</w:t>
            </w:r>
            <w:r>
              <w:rPr>
                <w:rFonts w:ascii="TimesNewRomanPS-BoldItalicMT" w:eastAsiaTheme="minorHAnsi" w:hAnsi="TimesNewRomanPS-BoldItalicMT" w:cs="TimesNewRomanPS-BoldItalicMT"/>
                <w:b/>
                <w:bCs/>
                <w:i/>
                <w:iCs/>
                <w:lang w:eastAsia="en-US"/>
              </w:rPr>
              <w:t>2</w:t>
            </w:r>
            <w:r w:rsidRPr="003D3A67">
              <w:rPr>
                <w:rFonts w:ascii="TimesNewRomanPS-BoldItalicMT" w:eastAsiaTheme="minorHAnsi" w:hAnsi="TimesNewRomanPS-BoldItalicMT" w:cs="TimesNewRomanPS-BoldItalicMT"/>
                <w:b/>
                <w:bCs/>
                <w:i/>
                <w:iCs/>
                <w:lang w:eastAsia="en-US"/>
              </w:rPr>
              <w:t xml:space="preserve"> году сохранилась на сопоставимом с 201</w:t>
            </w:r>
            <w:r>
              <w:rPr>
                <w:rFonts w:ascii="TimesNewRomanPS-BoldItalicMT" w:eastAsiaTheme="minorHAnsi" w:hAnsi="TimesNewRomanPS-BoldItalicMT" w:cs="TimesNewRomanPS-BoldItalicMT"/>
                <w:b/>
                <w:bCs/>
                <w:i/>
                <w:iCs/>
                <w:lang w:eastAsia="en-US"/>
              </w:rPr>
              <w:t>1</w:t>
            </w:r>
            <w:r w:rsidRPr="003D3A67">
              <w:rPr>
                <w:rFonts w:ascii="TimesNewRomanPS-BoldItalicMT" w:eastAsiaTheme="minorHAnsi" w:hAnsi="TimesNewRomanPS-BoldItalicMT" w:cs="TimesNewRomanPS-BoldItalicMT"/>
                <w:b/>
                <w:bCs/>
                <w:i/>
                <w:iCs/>
                <w:lang w:eastAsia="en-US"/>
              </w:rPr>
              <w:t xml:space="preserve"> годом уровне. </w:t>
            </w:r>
            <w:r>
              <w:rPr>
                <w:rFonts w:ascii="TimesNewRomanPS-BoldItalicMT" w:eastAsiaTheme="minorHAnsi" w:hAnsi="TimesNewRomanPS-BoldItalicMT" w:cs="TimesNewRomanPS-BoldItalicMT"/>
                <w:b/>
                <w:bCs/>
                <w:i/>
                <w:iCs/>
                <w:lang w:eastAsia="en-US"/>
              </w:rPr>
              <w:t>Снижение операционной прибыли было скомпенсировано ростом сальдо прочих доходов и расходов за счёт снижения отрицательных курсовых разниц, а также увеличением доходов по процентам полученным.</w:t>
            </w:r>
          </w:p>
        </w:tc>
      </w:tr>
      <w:tr w:rsidR="000647F2" w:rsidRPr="00604120" w:rsidTr="00B972FD">
        <w:tc>
          <w:tcPr>
            <w:tcW w:w="2600" w:type="dxa"/>
          </w:tcPr>
          <w:p w:rsidR="000647F2" w:rsidRPr="00BF5CDB" w:rsidRDefault="000647F2" w:rsidP="00B972FD">
            <w:pPr>
              <w:spacing w:before="120"/>
              <w:rPr>
                <w:rFonts w:ascii="Arial" w:hAnsi="Arial" w:cs="Arial"/>
                <w:b/>
              </w:rPr>
            </w:pPr>
            <w:r w:rsidRPr="00BF5CDB">
              <w:rPr>
                <w:rFonts w:ascii="Arial" w:hAnsi="Arial" w:cs="Arial"/>
                <w:b/>
              </w:rPr>
              <w:t>31.12.2013</w:t>
            </w:r>
          </w:p>
        </w:tc>
        <w:tc>
          <w:tcPr>
            <w:tcW w:w="7100" w:type="dxa"/>
          </w:tcPr>
          <w:p w:rsidR="000647F2" w:rsidRPr="00604120" w:rsidRDefault="002D565A" w:rsidP="00907BBC">
            <w:pPr>
              <w:widowControl/>
              <w:spacing w:before="0" w:after="0"/>
              <w:jc w:val="both"/>
              <w:rPr>
                <w:b/>
              </w:rPr>
            </w:pPr>
            <w:r>
              <w:rPr>
                <w:rFonts w:ascii="TimesNewRomanPS-BoldItalicMT" w:eastAsiaTheme="minorHAnsi" w:hAnsi="TimesNewRomanPS-BoldItalicMT" w:cs="TimesNewRomanPS-BoldItalicMT"/>
                <w:b/>
                <w:bCs/>
                <w:i/>
                <w:iCs/>
                <w:lang w:eastAsia="en-US"/>
              </w:rPr>
              <w:t>Чистая прибыль Эмитента в 2013 году несколько сократилась по сравнению с 2012 годом. Операционная прибыль сохранилась на сопоставимом уровне, снижение прочих доходов по причине сокращения положительных курсовых разниц привело к снижению чистой прибыли.</w:t>
            </w:r>
          </w:p>
        </w:tc>
      </w:tr>
      <w:tr w:rsidR="000647F2" w:rsidRPr="00604120" w:rsidTr="00B972FD">
        <w:tc>
          <w:tcPr>
            <w:tcW w:w="2600" w:type="dxa"/>
          </w:tcPr>
          <w:p w:rsidR="000647F2" w:rsidRPr="00BF5CDB" w:rsidRDefault="000647F2" w:rsidP="00B972FD">
            <w:pPr>
              <w:spacing w:before="120"/>
              <w:rPr>
                <w:rFonts w:ascii="Arial" w:hAnsi="Arial" w:cs="Arial"/>
                <w:b/>
              </w:rPr>
            </w:pPr>
            <w:r w:rsidRPr="00BF5CDB">
              <w:rPr>
                <w:rFonts w:ascii="Arial" w:hAnsi="Arial" w:cs="Arial"/>
                <w:b/>
              </w:rPr>
              <w:t>31.12.2014</w:t>
            </w:r>
          </w:p>
        </w:tc>
        <w:tc>
          <w:tcPr>
            <w:tcW w:w="7100" w:type="dxa"/>
          </w:tcPr>
          <w:p w:rsidR="000647F2" w:rsidRPr="00604120" w:rsidRDefault="002D565A" w:rsidP="00907BBC">
            <w:pPr>
              <w:widowControl/>
              <w:spacing w:before="0" w:after="0"/>
              <w:jc w:val="both"/>
              <w:rPr>
                <w:b/>
                <w:highlight w:val="yellow"/>
              </w:rPr>
            </w:pPr>
            <w:r w:rsidRPr="003D3A67">
              <w:rPr>
                <w:rFonts w:ascii="TimesNewRomanPS-BoldItalicMT" w:eastAsiaTheme="minorHAnsi" w:hAnsi="TimesNewRomanPS-BoldItalicMT" w:cs="TimesNewRomanPS-BoldItalicMT"/>
                <w:b/>
                <w:bCs/>
                <w:i/>
                <w:iCs/>
                <w:lang w:eastAsia="en-US"/>
              </w:rPr>
              <w:t>Чистая прибыль Эмитента в 20</w:t>
            </w:r>
            <w:r>
              <w:rPr>
                <w:rFonts w:ascii="TimesNewRomanPS-BoldItalicMT" w:eastAsiaTheme="minorHAnsi" w:hAnsi="TimesNewRomanPS-BoldItalicMT" w:cs="TimesNewRomanPS-BoldItalicMT"/>
                <w:b/>
                <w:bCs/>
                <w:i/>
                <w:iCs/>
                <w:lang w:eastAsia="en-US"/>
              </w:rPr>
              <w:t>14</w:t>
            </w:r>
            <w:r w:rsidRPr="003D3A67">
              <w:rPr>
                <w:rFonts w:ascii="TimesNewRomanPS-BoldItalicMT" w:eastAsiaTheme="minorHAnsi" w:hAnsi="TimesNewRomanPS-BoldItalicMT" w:cs="TimesNewRomanPS-BoldItalicMT"/>
                <w:b/>
                <w:bCs/>
                <w:i/>
                <w:iCs/>
                <w:lang w:eastAsia="en-US"/>
              </w:rPr>
              <w:t xml:space="preserve"> году </w:t>
            </w:r>
            <w:r>
              <w:rPr>
                <w:rFonts w:ascii="TimesNewRomanPS-BoldItalicMT" w:eastAsiaTheme="minorHAnsi" w:hAnsi="TimesNewRomanPS-BoldItalicMT" w:cs="TimesNewRomanPS-BoldItalicMT"/>
                <w:b/>
                <w:bCs/>
                <w:i/>
                <w:iCs/>
                <w:lang w:eastAsia="en-US"/>
              </w:rPr>
              <w:t>снизилась</w:t>
            </w:r>
            <w:r w:rsidRPr="003D3A67">
              <w:rPr>
                <w:rFonts w:ascii="TimesNewRomanPS-BoldItalicMT" w:eastAsiaTheme="minorHAnsi" w:hAnsi="TimesNewRomanPS-BoldItalicMT" w:cs="TimesNewRomanPS-BoldItalicMT"/>
                <w:b/>
                <w:bCs/>
                <w:i/>
                <w:iCs/>
                <w:lang w:eastAsia="en-US"/>
              </w:rPr>
              <w:t xml:space="preserve"> </w:t>
            </w:r>
            <w:r>
              <w:rPr>
                <w:rFonts w:ascii="TimesNewRomanPS-BoldItalicMT" w:eastAsiaTheme="minorHAnsi" w:hAnsi="TimesNewRomanPS-BoldItalicMT" w:cs="TimesNewRomanPS-BoldItalicMT"/>
                <w:b/>
                <w:bCs/>
                <w:i/>
                <w:iCs/>
                <w:lang w:eastAsia="en-US"/>
              </w:rPr>
              <w:t>по сравнению с</w:t>
            </w:r>
            <w:r w:rsidRPr="003D3A67">
              <w:rPr>
                <w:rFonts w:ascii="TimesNewRomanPS-BoldItalicMT" w:eastAsiaTheme="minorHAnsi" w:hAnsi="TimesNewRomanPS-BoldItalicMT" w:cs="TimesNewRomanPS-BoldItalicMT"/>
                <w:b/>
                <w:bCs/>
                <w:i/>
                <w:iCs/>
                <w:lang w:eastAsia="en-US"/>
              </w:rPr>
              <w:t xml:space="preserve"> 201</w:t>
            </w:r>
            <w:r>
              <w:rPr>
                <w:rFonts w:ascii="TimesNewRomanPS-BoldItalicMT" w:eastAsiaTheme="minorHAnsi" w:hAnsi="TimesNewRomanPS-BoldItalicMT" w:cs="TimesNewRomanPS-BoldItalicMT"/>
                <w:b/>
                <w:bCs/>
                <w:i/>
                <w:iCs/>
                <w:lang w:eastAsia="en-US"/>
              </w:rPr>
              <w:t>3</w:t>
            </w:r>
            <w:r w:rsidRPr="003D3A67">
              <w:rPr>
                <w:rFonts w:ascii="TimesNewRomanPS-BoldItalicMT" w:eastAsiaTheme="minorHAnsi" w:hAnsi="TimesNewRomanPS-BoldItalicMT" w:cs="TimesNewRomanPS-BoldItalicMT"/>
                <w:b/>
                <w:bCs/>
                <w:i/>
                <w:iCs/>
                <w:lang w:eastAsia="en-US"/>
              </w:rPr>
              <w:t xml:space="preserve"> годом. </w:t>
            </w:r>
            <w:r>
              <w:rPr>
                <w:rFonts w:ascii="TimesNewRomanPS-BoldItalicMT" w:eastAsiaTheme="minorHAnsi" w:hAnsi="TimesNewRomanPS-BoldItalicMT" w:cs="TimesNewRomanPS-BoldItalicMT"/>
                <w:b/>
                <w:bCs/>
                <w:i/>
                <w:iCs/>
                <w:lang w:eastAsia="en-US"/>
              </w:rPr>
              <w:t>Операционная прибыль сохранилась на сопоставимом уровне, основная причина снижения чистой прибыли – рост прочих расходов за счёт отрицательных курсовых разниц.</w:t>
            </w:r>
          </w:p>
        </w:tc>
      </w:tr>
      <w:tr w:rsidR="000647F2" w:rsidRPr="00604120" w:rsidTr="00B972FD">
        <w:tc>
          <w:tcPr>
            <w:tcW w:w="2600" w:type="dxa"/>
          </w:tcPr>
          <w:p w:rsidR="000647F2" w:rsidRPr="00BF5CDB" w:rsidRDefault="000647F2" w:rsidP="00B972FD">
            <w:pPr>
              <w:spacing w:before="120"/>
              <w:rPr>
                <w:rFonts w:ascii="Arial" w:hAnsi="Arial" w:cs="Arial"/>
                <w:b/>
              </w:rPr>
            </w:pPr>
            <w:r w:rsidRPr="00BF5CDB">
              <w:rPr>
                <w:rFonts w:ascii="Arial" w:hAnsi="Arial" w:cs="Arial"/>
                <w:b/>
              </w:rPr>
              <w:t>31.12.2015</w:t>
            </w:r>
          </w:p>
        </w:tc>
        <w:tc>
          <w:tcPr>
            <w:tcW w:w="7100" w:type="dxa"/>
          </w:tcPr>
          <w:p w:rsidR="000647F2" w:rsidRPr="000E1DDB" w:rsidRDefault="002D565A" w:rsidP="00B95261">
            <w:pPr>
              <w:widowControl/>
              <w:spacing w:before="0" w:after="0"/>
              <w:jc w:val="both"/>
              <w:rPr>
                <w:rFonts w:ascii="Times New Roman,BoldItalic" w:eastAsiaTheme="minorHAnsi" w:hAnsi="Times New Roman,BoldItalic" w:cs="Times New Roman,BoldItalic"/>
                <w:b/>
                <w:bCs/>
                <w:i/>
                <w:iCs/>
                <w:lang w:eastAsia="en-US"/>
              </w:rPr>
            </w:pPr>
            <w:r>
              <w:rPr>
                <w:rFonts w:ascii="Times New Roman,BoldItalic" w:eastAsiaTheme="minorHAnsi" w:hAnsi="Times New Roman,BoldItalic" w:cs="Times New Roman,BoldItalic"/>
                <w:b/>
                <w:bCs/>
                <w:i/>
                <w:iCs/>
                <w:lang w:eastAsia="en-US"/>
              </w:rPr>
              <w:t>Чистая прибыль выросла в 2015 г</w:t>
            </w:r>
            <w:r w:rsidR="00151548">
              <w:rPr>
                <w:rFonts w:ascii="Times New Roman,BoldItalic" w:eastAsiaTheme="minorHAnsi" w:hAnsi="Times New Roman,BoldItalic" w:cs="Times New Roman,BoldItalic"/>
                <w:b/>
                <w:bCs/>
                <w:i/>
                <w:iCs/>
                <w:lang w:eastAsia="en-US"/>
              </w:rPr>
              <w:t>оду</w:t>
            </w:r>
            <w:r>
              <w:rPr>
                <w:rFonts w:ascii="Times New Roman,BoldItalic" w:eastAsiaTheme="minorHAnsi" w:hAnsi="Times New Roman,BoldItalic" w:cs="Times New Roman,BoldItalic"/>
                <w:b/>
                <w:bCs/>
                <w:i/>
                <w:iCs/>
                <w:lang w:eastAsia="en-US"/>
              </w:rPr>
              <w:t xml:space="preserve"> по сравнению с 2014 г</w:t>
            </w:r>
            <w:r w:rsidR="00151548">
              <w:rPr>
                <w:rFonts w:ascii="Times New Roman,BoldItalic" w:eastAsiaTheme="minorHAnsi" w:hAnsi="Times New Roman,BoldItalic" w:cs="Times New Roman,BoldItalic"/>
                <w:b/>
                <w:bCs/>
                <w:i/>
                <w:iCs/>
                <w:lang w:eastAsia="en-US"/>
              </w:rPr>
              <w:t>одом.</w:t>
            </w:r>
            <w:r>
              <w:rPr>
                <w:rFonts w:ascii="Times New Roman,BoldItalic" w:eastAsiaTheme="minorHAnsi" w:hAnsi="Times New Roman,BoldItalic" w:cs="Times New Roman,BoldItalic"/>
                <w:b/>
                <w:bCs/>
                <w:i/>
                <w:iCs/>
                <w:lang w:eastAsia="en-US"/>
              </w:rPr>
              <w:t xml:space="preserve"> Рост чистой прибыли был вызван увеличением операционной прибыли, а также существенным увеличением статьи «Доходы от участия в других организациях» - Эмитент получил дивиденды от дочерних компаний</w:t>
            </w:r>
            <w:r w:rsidR="00B95261">
              <w:rPr>
                <w:rStyle w:val="af1"/>
                <w:rFonts w:ascii="Times New Roman,BoldItalic" w:eastAsiaTheme="minorHAnsi" w:hAnsi="Times New Roman,BoldItalic" w:cs="Times New Roman,BoldItalic"/>
                <w:b/>
                <w:bCs/>
                <w:i/>
                <w:iCs/>
                <w:lang w:eastAsia="en-US"/>
              </w:rPr>
              <w:footnoteReference w:id="4"/>
            </w:r>
            <w:r>
              <w:rPr>
                <w:rFonts w:ascii="Times New Roman,BoldItalic" w:eastAsiaTheme="minorHAnsi" w:hAnsi="Times New Roman,BoldItalic" w:cs="Times New Roman,BoldItalic"/>
                <w:b/>
                <w:bCs/>
                <w:i/>
                <w:iCs/>
                <w:lang w:eastAsia="en-US"/>
              </w:rPr>
              <w:t>.</w:t>
            </w:r>
            <w:r w:rsidR="00B95261">
              <w:rPr>
                <w:rFonts w:ascii="Times New Roman,BoldItalic" w:eastAsiaTheme="minorHAnsi" w:hAnsi="Times New Roman,BoldItalic" w:cs="Times New Roman,BoldItalic"/>
                <w:b/>
                <w:bCs/>
                <w:i/>
                <w:iCs/>
                <w:lang w:eastAsia="en-US"/>
              </w:rPr>
              <w:t xml:space="preserve"> </w:t>
            </w:r>
          </w:p>
        </w:tc>
      </w:tr>
    </w:tbl>
    <w:p w:rsidR="000647F2" w:rsidRDefault="000647F2" w:rsidP="000647F2">
      <w:pPr>
        <w:rPr>
          <w:rFonts w:eastAsia="Calibri"/>
        </w:rPr>
      </w:pPr>
    </w:p>
    <w:p w:rsidR="000647F2" w:rsidRPr="00E033CD" w:rsidRDefault="000647F2" w:rsidP="0081789B">
      <w:pPr>
        <w:ind w:firstLine="567"/>
        <w:jc w:val="both"/>
        <w:rPr>
          <w:rFonts w:ascii="Arial" w:eastAsia="Calibri" w:hAnsi="Arial" w:cs="Arial"/>
          <w:i/>
        </w:rPr>
      </w:pPr>
      <w:r w:rsidRPr="00604120">
        <w:rPr>
          <w:rFonts w:eastAsia="Calibri"/>
        </w:rPr>
        <w:t xml:space="preserve">В случае если мнения органов управления эмитента относительно упомянутых причин и (или) степени их влияния на результаты финансово-хозяйственной деятельности эмитента не совпадают, указывается мнение каждого из таких органов управления эмитента и аргументация, объясняющая их позицию: </w:t>
      </w:r>
      <w:r w:rsidRPr="00E033CD">
        <w:rPr>
          <w:rFonts w:ascii="Arial" w:eastAsia="Calibri" w:hAnsi="Arial" w:cs="Arial"/>
          <w:b/>
          <w:i/>
        </w:rPr>
        <w:t>м</w:t>
      </w:r>
      <w:r w:rsidRPr="00E033CD">
        <w:rPr>
          <w:rFonts w:ascii="Arial" w:hAnsi="Arial" w:cs="Arial"/>
          <w:b/>
          <w:i/>
        </w:rPr>
        <w:t>нени</w:t>
      </w:r>
      <w:r>
        <w:rPr>
          <w:rFonts w:ascii="Arial" w:hAnsi="Arial" w:cs="Arial"/>
          <w:b/>
          <w:i/>
        </w:rPr>
        <w:t>я</w:t>
      </w:r>
      <w:r w:rsidRPr="00E033CD">
        <w:rPr>
          <w:rFonts w:ascii="Arial" w:hAnsi="Arial" w:cs="Arial"/>
          <w:b/>
          <w:i/>
        </w:rPr>
        <w:t xml:space="preserve"> органов управления Эмитента</w:t>
      </w:r>
      <w:r>
        <w:rPr>
          <w:rFonts w:ascii="Arial" w:hAnsi="Arial" w:cs="Arial"/>
          <w:b/>
          <w:i/>
        </w:rPr>
        <w:t xml:space="preserve"> совпадаю</w:t>
      </w:r>
      <w:r w:rsidRPr="00E033CD">
        <w:rPr>
          <w:rFonts w:ascii="Arial" w:hAnsi="Arial" w:cs="Arial"/>
          <w:b/>
          <w:i/>
        </w:rPr>
        <w:t xml:space="preserve">т с указанной информацией. </w:t>
      </w:r>
    </w:p>
    <w:p w:rsidR="000647F2" w:rsidRPr="004C19A8" w:rsidRDefault="000647F2" w:rsidP="000647F2">
      <w:pPr>
        <w:jc w:val="both"/>
        <w:rPr>
          <w:rFonts w:ascii="Arial" w:hAnsi="Arial" w:cs="Arial"/>
          <w:b/>
          <w:i/>
        </w:rPr>
      </w:pPr>
      <w:r w:rsidRPr="00604120">
        <w:rPr>
          <w:rFonts w:eastAsia="Calibri"/>
        </w:rPr>
        <w:t xml:space="preserve">В случае если член совета директоров (наблюдательного совета) эмитента или член коллегиального исполнительного органа эмитента имеет особое мнение относительно упомянутых причин и (или) степени их влияния на результаты финансово-хозяйственной деятельности эмитента, отраженное в протоколе собрания (заседания) совета директоров (наблюдательного совета) эмитента или коллегиального исполнительного органа, на котором рассматривались соответствующие вопросы, и настаивает на отражении такого мнения в проспекте ценных бумаг, указывается такое особое мнение и аргументация члена органа управления эмитента, объясняющая его позицию: </w:t>
      </w:r>
      <w:r w:rsidRPr="004C19A8">
        <w:rPr>
          <w:rFonts w:ascii="Arial" w:hAnsi="Arial" w:cs="Arial"/>
          <w:b/>
          <w:i/>
        </w:rPr>
        <w:t xml:space="preserve">не имеет. </w:t>
      </w:r>
    </w:p>
    <w:p w:rsidR="000647F2" w:rsidRPr="00926BED" w:rsidRDefault="000647F2" w:rsidP="000647F2">
      <w:pPr>
        <w:pStyle w:val="ConsPlusNormal"/>
        <w:jc w:val="both"/>
        <w:rPr>
          <w:b/>
          <w:i/>
        </w:rPr>
      </w:pPr>
    </w:p>
    <w:p w:rsidR="000647F2" w:rsidRPr="007D3222" w:rsidRDefault="000647F2" w:rsidP="000647F2">
      <w:pPr>
        <w:pStyle w:val="ConsPlusNormal"/>
        <w:ind w:firstLine="540"/>
        <w:jc w:val="both"/>
        <w:outlineLvl w:val="1"/>
        <w:rPr>
          <w:b/>
          <w:i/>
          <w:sz w:val="28"/>
          <w:szCs w:val="28"/>
        </w:rPr>
      </w:pPr>
      <w:bookmarkStart w:id="63" w:name="_Toc448251160"/>
      <w:r w:rsidRPr="007D3222">
        <w:rPr>
          <w:b/>
          <w:i/>
          <w:sz w:val="28"/>
          <w:szCs w:val="28"/>
        </w:rPr>
        <w:t>4.2. Ликвидность эмитента, достаточность капитала и оборотных средств</w:t>
      </w:r>
      <w:bookmarkEnd w:id="63"/>
    </w:p>
    <w:p w:rsidR="00DC3EF7" w:rsidRDefault="00DC3EF7" w:rsidP="000647F2">
      <w:pPr>
        <w:ind w:firstLine="540"/>
        <w:jc w:val="both"/>
        <w:rPr>
          <w:rFonts w:eastAsia="Calibri"/>
          <w:bCs/>
        </w:rPr>
      </w:pPr>
    </w:p>
    <w:p w:rsidR="000647F2" w:rsidRPr="00604120" w:rsidRDefault="000647F2" w:rsidP="000647F2">
      <w:pPr>
        <w:ind w:firstLine="540"/>
        <w:jc w:val="both"/>
        <w:rPr>
          <w:rFonts w:eastAsia="Calibri"/>
          <w:bCs/>
        </w:rPr>
      </w:pPr>
      <w:r w:rsidRPr="00604120">
        <w:rPr>
          <w:rFonts w:eastAsia="Calibri"/>
          <w:bCs/>
        </w:rPr>
        <w:t>Указывается динамика показателей, характеризующих ликвидность эмитента, за пять последних завершенных отчетных лет либо за каждый завершенный отчетный год, если эмитент осуществляет свою деятельность менее пяти лет.</w:t>
      </w:r>
    </w:p>
    <w:p w:rsidR="000647F2" w:rsidRPr="006339BD" w:rsidRDefault="000647F2" w:rsidP="000647F2">
      <w:pPr>
        <w:ind w:firstLine="540"/>
        <w:jc w:val="right"/>
        <w:rPr>
          <w:rFonts w:ascii="Arial" w:hAnsi="Arial" w:cs="Arial"/>
          <w:b/>
          <w:i/>
        </w:rPr>
      </w:pPr>
    </w:p>
    <w:tbl>
      <w:tblPr>
        <w:tblpPr w:leftFromText="180" w:rightFromText="180" w:vertAnchor="text" w:horzAnchor="margin" w:tblpY="137"/>
        <w:tblW w:w="9606" w:type="dxa"/>
        <w:tblLayout w:type="fixed"/>
        <w:tblLook w:val="0000" w:firstRow="0" w:lastRow="0" w:firstColumn="0" w:lastColumn="0" w:noHBand="0" w:noVBand="0"/>
      </w:tblPr>
      <w:tblGrid>
        <w:gridCol w:w="3227"/>
        <w:gridCol w:w="1276"/>
        <w:gridCol w:w="1276"/>
        <w:gridCol w:w="1275"/>
        <w:gridCol w:w="1276"/>
        <w:gridCol w:w="1276"/>
      </w:tblGrid>
      <w:tr w:rsidR="000647F2" w:rsidRPr="00604120" w:rsidTr="00151548">
        <w:trPr>
          <w:trHeight w:val="271"/>
        </w:trPr>
        <w:tc>
          <w:tcPr>
            <w:tcW w:w="3227" w:type="dxa"/>
            <w:tcBorders>
              <w:top w:val="single" w:sz="4" w:space="0" w:color="auto"/>
              <w:left w:val="single" w:sz="4" w:space="0" w:color="auto"/>
              <w:bottom w:val="single" w:sz="4" w:space="0" w:color="auto"/>
              <w:right w:val="single" w:sz="4" w:space="0" w:color="auto"/>
            </w:tcBorders>
            <w:vAlign w:val="center"/>
          </w:tcPr>
          <w:p w:rsidR="000647F2" w:rsidRPr="00604120" w:rsidRDefault="000647F2" w:rsidP="00B972FD">
            <w:pPr>
              <w:ind w:right="34"/>
              <w:jc w:val="center"/>
              <w:rPr>
                <w:b/>
              </w:rPr>
            </w:pPr>
            <w:r w:rsidRPr="00604120">
              <w:rPr>
                <w:rFonts w:eastAsia="Calibri"/>
              </w:rPr>
              <w:t>Наименование показателя</w:t>
            </w:r>
          </w:p>
        </w:tc>
        <w:tc>
          <w:tcPr>
            <w:tcW w:w="1276" w:type="dxa"/>
            <w:tcBorders>
              <w:top w:val="single" w:sz="4" w:space="0" w:color="auto"/>
              <w:left w:val="nil"/>
              <w:bottom w:val="single" w:sz="4" w:space="0" w:color="auto"/>
              <w:right w:val="single" w:sz="4" w:space="0" w:color="auto"/>
            </w:tcBorders>
            <w:vAlign w:val="center"/>
          </w:tcPr>
          <w:p w:rsidR="000647F2" w:rsidRPr="00604120" w:rsidRDefault="000647F2" w:rsidP="00B972FD">
            <w:pPr>
              <w:ind w:right="34"/>
              <w:jc w:val="center"/>
              <w:rPr>
                <w:b/>
              </w:rPr>
            </w:pPr>
            <w:r w:rsidRPr="00604120">
              <w:rPr>
                <w:b/>
              </w:rPr>
              <w:t>31.12.201</w:t>
            </w:r>
            <w:r>
              <w:rPr>
                <w:b/>
              </w:rPr>
              <w:t>1</w:t>
            </w:r>
          </w:p>
        </w:tc>
        <w:tc>
          <w:tcPr>
            <w:tcW w:w="1276" w:type="dxa"/>
            <w:tcBorders>
              <w:top w:val="single" w:sz="4" w:space="0" w:color="auto"/>
              <w:left w:val="nil"/>
              <w:bottom w:val="single" w:sz="4" w:space="0" w:color="auto"/>
              <w:right w:val="single" w:sz="4" w:space="0" w:color="auto"/>
            </w:tcBorders>
            <w:vAlign w:val="center"/>
          </w:tcPr>
          <w:p w:rsidR="000647F2" w:rsidRPr="00604120" w:rsidRDefault="000647F2" w:rsidP="00B972FD">
            <w:pPr>
              <w:ind w:right="34"/>
              <w:jc w:val="center"/>
              <w:rPr>
                <w:b/>
              </w:rPr>
            </w:pPr>
            <w:r w:rsidRPr="00604120">
              <w:rPr>
                <w:b/>
              </w:rPr>
              <w:t>31.12.201</w:t>
            </w:r>
            <w:r>
              <w:rPr>
                <w:b/>
              </w:rPr>
              <w:t>2</w:t>
            </w:r>
          </w:p>
        </w:tc>
        <w:tc>
          <w:tcPr>
            <w:tcW w:w="1275" w:type="dxa"/>
            <w:tcBorders>
              <w:top w:val="single" w:sz="4" w:space="0" w:color="auto"/>
              <w:left w:val="nil"/>
              <w:bottom w:val="single" w:sz="4" w:space="0" w:color="auto"/>
              <w:right w:val="single" w:sz="4" w:space="0" w:color="auto"/>
            </w:tcBorders>
            <w:vAlign w:val="center"/>
          </w:tcPr>
          <w:p w:rsidR="000647F2" w:rsidRPr="00604120" w:rsidRDefault="000647F2" w:rsidP="00B972FD">
            <w:pPr>
              <w:jc w:val="center"/>
              <w:rPr>
                <w:b/>
              </w:rPr>
            </w:pPr>
            <w:r w:rsidRPr="00604120">
              <w:rPr>
                <w:b/>
              </w:rPr>
              <w:t>31.12.201</w:t>
            </w:r>
            <w:r>
              <w:rPr>
                <w:b/>
              </w:rPr>
              <w:t>3</w:t>
            </w:r>
            <w:r w:rsidR="00366F6A">
              <w:rPr>
                <w:rStyle w:val="af1"/>
                <w:b/>
              </w:rPr>
              <w:footnoteReference w:id="5"/>
            </w:r>
          </w:p>
        </w:tc>
        <w:tc>
          <w:tcPr>
            <w:tcW w:w="1276" w:type="dxa"/>
            <w:tcBorders>
              <w:top w:val="single" w:sz="4" w:space="0" w:color="auto"/>
              <w:left w:val="single" w:sz="4" w:space="0" w:color="auto"/>
              <w:bottom w:val="single" w:sz="4" w:space="0" w:color="auto"/>
              <w:right w:val="single" w:sz="4" w:space="0" w:color="auto"/>
            </w:tcBorders>
            <w:vAlign w:val="center"/>
          </w:tcPr>
          <w:p w:rsidR="000647F2" w:rsidRPr="00604120" w:rsidRDefault="000647F2" w:rsidP="00B972FD">
            <w:pPr>
              <w:ind w:right="34"/>
              <w:jc w:val="center"/>
              <w:rPr>
                <w:b/>
              </w:rPr>
            </w:pPr>
            <w:r w:rsidRPr="00604120">
              <w:rPr>
                <w:b/>
              </w:rPr>
              <w:t>31.12.201</w:t>
            </w:r>
            <w:r>
              <w:rPr>
                <w:b/>
              </w:rPr>
              <w:t>4</w:t>
            </w:r>
            <w:r w:rsidR="00366F6A">
              <w:rPr>
                <w:rStyle w:val="af1"/>
                <w:b/>
              </w:rPr>
              <w:footnoteReference w:id="6"/>
            </w:r>
          </w:p>
        </w:tc>
        <w:tc>
          <w:tcPr>
            <w:tcW w:w="1276" w:type="dxa"/>
            <w:tcBorders>
              <w:top w:val="single" w:sz="4" w:space="0" w:color="auto"/>
              <w:left w:val="single" w:sz="4" w:space="0" w:color="auto"/>
              <w:bottom w:val="single" w:sz="4" w:space="0" w:color="auto"/>
              <w:right w:val="single" w:sz="4" w:space="0" w:color="auto"/>
            </w:tcBorders>
            <w:vAlign w:val="center"/>
          </w:tcPr>
          <w:p w:rsidR="000647F2" w:rsidRPr="00907BBC" w:rsidRDefault="000647F2" w:rsidP="00B972FD">
            <w:pPr>
              <w:ind w:right="34"/>
              <w:jc w:val="center"/>
              <w:rPr>
                <w:b/>
              </w:rPr>
            </w:pPr>
            <w:r w:rsidRPr="00907BBC">
              <w:rPr>
                <w:b/>
              </w:rPr>
              <w:t>31.12.2015</w:t>
            </w:r>
            <w:r w:rsidR="00366F6A">
              <w:rPr>
                <w:rStyle w:val="af1"/>
                <w:b/>
              </w:rPr>
              <w:footnoteReference w:id="7"/>
            </w:r>
          </w:p>
        </w:tc>
      </w:tr>
      <w:tr w:rsidR="000647F2" w:rsidRPr="00604120" w:rsidTr="00151548">
        <w:trPr>
          <w:trHeight w:val="586"/>
        </w:trPr>
        <w:tc>
          <w:tcPr>
            <w:tcW w:w="3227" w:type="dxa"/>
            <w:tcBorders>
              <w:top w:val="nil"/>
              <w:left w:val="single" w:sz="4" w:space="0" w:color="auto"/>
              <w:bottom w:val="single" w:sz="4" w:space="0" w:color="auto"/>
              <w:right w:val="single" w:sz="4" w:space="0" w:color="auto"/>
            </w:tcBorders>
            <w:vAlign w:val="center"/>
          </w:tcPr>
          <w:p w:rsidR="000647F2" w:rsidRPr="00BF5CDB" w:rsidRDefault="000647F2" w:rsidP="00B972FD">
            <w:pPr>
              <w:rPr>
                <w:rFonts w:ascii="Arial" w:eastAsia="Calibri" w:hAnsi="Arial" w:cs="Arial"/>
                <w:b/>
                <w:bCs/>
              </w:rPr>
            </w:pPr>
            <w:r w:rsidRPr="00BF5CDB">
              <w:rPr>
                <w:rFonts w:ascii="Arial" w:eastAsia="Calibri" w:hAnsi="Arial" w:cs="Arial"/>
                <w:b/>
                <w:bCs/>
              </w:rPr>
              <w:t>Чистый оборотный капитал, тыс. руб.</w:t>
            </w:r>
          </w:p>
          <w:p w:rsidR="000647F2" w:rsidRPr="00BF5CDB" w:rsidRDefault="000647F2" w:rsidP="00B972FD">
            <w:pPr>
              <w:jc w:val="both"/>
              <w:rPr>
                <w:rFonts w:ascii="Arial" w:eastAsia="Calibri" w:hAnsi="Arial" w:cs="Arial"/>
                <w:bCs/>
              </w:rPr>
            </w:pPr>
            <w:r w:rsidRPr="00BF5CDB">
              <w:rPr>
                <w:rFonts w:ascii="Arial" w:eastAsia="Calibri" w:hAnsi="Arial" w:cs="Arial"/>
                <w:bCs/>
              </w:rPr>
              <w:t>Оборотные активы - Долгосрочная дебиторская задолженность - Краткосрочные обязательства (не включая Доходы будущих периодов)</w:t>
            </w:r>
          </w:p>
          <w:p w:rsidR="000647F2" w:rsidRPr="00604120" w:rsidRDefault="000647F2" w:rsidP="00B972FD">
            <w:pPr>
              <w:ind w:left="-2031" w:right="34" w:firstLine="142"/>
              <w:jc w:val="center"/>
            </w:pPr>
          </w:p>
        </w:tc>
        <w:tc>
          <w:tcPr>
            <w:tcW w:w="1276" w:type="dxa"/>
            <w:tcBorders>
              <w:top w:val="nil"/>
              <w:left w:val="nil"/>
              <w:bottom w:val="single" w:sz="4" w:space="0" w:color="auto"/>
              <w:right w:val="single" w:sz="4" w:space="0" w:color="auto"/>
            </w:tcBorders>
            <w:vAlign w:val="center"/>
          </w:tcPr>
          <w:p w:rsidR="000647F2" w:rsidRPr="00796F38" w:rsidRDefault="000647F2" w:rsidP="00B972FD">
            <w:pPr>
              <w:jc w:val="center"/>
              <w:rPr>
                <w:rFonts w:ascii="Arial" w:hAnsi="Arial" w:cs="Arial"/>
                <w:b/>
                <w:i/>
              </w:rPr>
            </w:pPr>
            <w:r w:rsidRPr="005C2578">
              <w:rPr>
                <w:rFonts w:ascii="Arial" w:hAnsi="Arial" w:cs="Arial"/>
                <w:b/>
                <w:i/>
              </w:rPr>
              <w:t>1 576 163</w:t>
            </w:r>
          </w:p>
        </w:tc>
        <w:tc>
          <w:tcPr>
            <w:tcW w:w="1276" w:type="dxa"/>
            <w:tcBorders>
              <w:top w:val="nil"/>
              <w:left w:val="nil"/>
              <w:bottom w:val="single" w:sz="4" w:space="0" w:color="auto"/>
              <w:right w:val="single" w:sz="4" w:space="0" w:color="auto"/>
            </w:tcBorders>
            <w:vAlign w:val="center"/>
          </w:tcPr>
          <w:p w:rsidR="000647F2" w:rsidRPr="00796F38" w:rsidRDefault="000647F2" w:rsidP="00B972FD">
            <w:pPr>
              <w:jc w:val="center"/>
              <w:rPr>
                <w:rFonts w:ascii="Arial" w:hAnsi="Arial" w:cs="Arial"/>
                <w:b/>
                <w:i/>
              </w:rPr>
            </w:pPr>
            <w:r w:rsidRPr="005C2578">
              <w:rPr>
                <w:rFonts w:ascii="Arial" w:hAnsi="Arial" w:cs="Arial"/>
                <w:b/>
                <w:i/>
              </w:rPr>
              <w:t>3 974 703</w:t>
            </w:r>
          </w:p>
        </w:tc>
        <w:tc>
          <w:tcPr>
            <w:tcW w:w="1275" w:type="dxa"/>
            <w:tcBorders>
              <w:top w:val="single" w:sz="4" w:space="0" w:color="auto"/>
              <w:left w:val="nil"/>
              <w:bottom w:val="single" w:sz="4" w:space="0" w:color="auto"/>
              <w:right w:val="single" w:sz="4" w:space="0" w:color="auto"/>
            </w:tcBorders>
            <w:vAlign w:val="center"/>
          </w:tcPr>
          <w:p w:rsidR="000647F2" w:rsidRPr="00796F38" w:rsidRDefault="000647F2" w:rsidP="00B972FD">
            <w:pPr>
              <w:jc w:val="center"/>
              <w:rPr>
                <w:rFonts w:ascii="Arial" w:hAnsi="Arial" w:cs="Arial"/>
                <w:b/>
                <w:i/>
              </w:rPr>
            </w:pPr>
            <w:r w:rsidRPr="00796F38">
              <w:rPr>
                <w:rFonts w:ascii="Arial" w:hAnsi="Arial" w:cs="Arial"/>
                <w:b/>
                <w:i/>
              </w:rPr>
              <w:t>2 503 636</w:t>
            </w:r>
          </w:p>
        </w:tc>
        <w:tc>
          <w:tcPr>
            <w:tcW w:w="1276" w:type="dxa"/>
            <w:tcBorders>
              <w:top w:val="single" w:sz="4" w:space="0" w:color="auto"/>
              <w:left w:val="single" w:sz="4" w:space="0" w:color="auto"/>
              <w:bottom w:val="single" w:sz="4" w:space="0" w:color="auto"/>
              <w:right w:val="single" w:sz="4" w:space="0" w:color="auto"/>
            </w:tcBorders>
            <w:vAlign w:val="center"/>
          </w:tcPr>
          <w:p w:rsidR="000647F2" w:rsidRPr="00796F38" w:rsidRDefault="000647F2" w:rsidP="00B972FD">
            <w:pPr>
              <w:jc w:val="center"/>
              <w:rPr>
                <w:rFonts w:ascii="Arial" w:hAnsi="Arial" w:cs="Arial"/>
                <w:b/>
                <w:i/>
              </w:rPr>
            </w:pPr>
            <w:r w:rsidRPr="00796F38">
              <w:rPr>
                <w:rFonts w:ascii="Arial" w:hAnsi="Arial" w:cs="Arial"/>
                <w:b/>
                <w:i/>
              </w:rPr>
              <w:t>1 955 240</w:t>
            </w:r>
          </w:p>
        </w:tc>
        <w:tc>
          <w:tcPr>
            <w:tcW w:w="1276" w:type="dxa"/>
            <w:tcBorders>
              <w:top w:val="single" w:sz="4" w:space="0" w:color="auto"/>
              <w:left w:val="single" w:sz="4" w:space="0" w:color="auto"/>
              <w:bottom w:val="single" w:sz="4" w:space="0" w:color="auto"/>
              <w:right w:val="single" w:sz="4" w:space="0" w:color="auto"/>
            </w:tcBorders>
            <w:vAlign w:val="center"/>
          </w:tcPr>
          <w:p w:rsidR="000647F2" w:rsidRPr="00796F38" w:rsidRDefault="00907BBC" w:rsidP="00B972FD">
            <w:pPr>
              <w:jc w:val="center"/>
              <w:rPr>
                <w:rFonts w:ascii="Arial" w:hAnsi="Arial" w:cs="Arial"/>
                <w:b/>
                <w:i/>
              </w:rPr>
            </w:pPr>
            <w:r>
              <w:rPr>
                <w:rFonts w:ascii="Arial" w:hAnsi="Arial" w:cs="Arial"/>
                <w:b/>
                <w:i/>
              </w:rPr>
              <w:t>8 376 299</w:t>
            </w:r>
          </w:p>
        </w:tc>
      </w:tr>
      <w:tr w:rsidR="000647F2" w:rsidRPr="00604120" w:rsidTr="00151548">
        <w:trPr>
          <w:trHeight w:val="173"/>
        </w:trPr>
        <w:tc>
          <w:tcPr>
            <w:tcW w:w="3227" w:type="dxa"/>
            <w:tcBorders>
              <w:top w:val="single" w:sz="4" w:space="0" w:color="auto"/>
              <w:left w:val="single" w:sz="4" w:space="0" w:color="auto"/>
              <w:bottom w:val="single" w:sz="4" w:space="0" w:color="auto"/>
              <w:right w:val="single" w:sz="4" w:space="0" w:color="auto"/>
            </w:tcBorders>
            <w:vAlign w:val="center"/>
          </w:tcPr>
          <w:p w:rsidR="000647F2" w:rsidRPr="00BF5CDB" w:rsidRDefault="000647F2" w:rsidP="00BF5CDB">
            <w:pPr>
              <w:jc w:val="both"/>
              <w:rPr>
                <w:rFonts w:ascii="Arial" w:eastAsia="Calibri" w:hAnsi="Arial" w:cs="Arial"/>
                <w:b/>
                <w:bCs/>
              </w:rPr>
            </w:pPr>
            <w:r w:rsidRPr="00BF5CDB">
              <w:rPr>
                <w:rFonts w:ascii="Arial" w:eastAsia="Calibri" w:hAnsi="Arial" w:cs="Arial"/>
                <w:b/>
                <w:bCs/>
              </w:rPr>
              <w:t>Коэффициент текущей ликвидности</w:t>
            </w:r>
          </w:p>
          <w:p w:rsidR="000647F2" w:rsidRPr="00BF5CDB" w:rsidRDefault="000647F2" w:rsidP="00B972FD">
            <w:pPr>
              <w:jc w:val="both"/>
              <w:rPr>
                <w:rFonts w:ascii="Arial" w:eastAsia="Calibri" w:hAnsi="Arial" w:cs="Arial"/>
                <w:bCs/>
              </w:rPr>
            </w:pPr>
            <w:r w:rsidRPr="00BF5CDB">
              <w:rPr>
                <w:rFonts w:ascii="Arial" w:eastAsia="Calibri" w:hAnsi="Arial" w:cs="Arial"/>
                <w:bCs/>
              </w:rPr>
              <w:t>(Оборотные активы - Долгосрочная дебиторская задолженность) / Краткосрочные обязательства (не включая Доходы будущих периодов)</w:t>
            </w:r>
          </w:p>
          <w:p w:rsidR="000647F2" w:rsidRPr="00604120" w:rsidRDefault="000647F2" w:rsidP="00B972FD">
            <w:pPr>
              <w:ind w:left="34" w:right="34"/>
              <w:jc w:val="center"/>
              <w:rPr>
                <w:rFonts w:eastAsia="Calibri"/>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0647F2" w:rsidRPr="00796F38" w:rsidRDefault="000647F2" w:rsidP="00B972FD">
            <w:pPr>
              <w:jc w:val="center"/>
              <w:rPr>
                <w:rFonts w:ascii="Arial" w:hAnsi="Arial" w:cs="Arial"/>
                <w:b/>
                <w:i/>
              </w:rPr>
            </w:pPr>
            <w:r w:rsidRPr="005C2578">
              <w:rPr>
                <w:rFonts w:ascii="Arial" w:hAnsi="Arial" w:cs="Arial"/>
                <w:b/>
                <w:i/>
              </w:rPr>
              <w:t>1.1</w:t>
            </w:r>
          </w:p>
        </w:tc>
        <w:tc>
          <w:tcPr>
            <w:tcW w:w="1276" w:type="dxa"/>
            <w:tcBorders>
              <w:top w:val="single" w:sz="4" w:space="0" w:color="auto"/>
              <w:left w:val="single" w:sz="4" w:space="0" w:color="auto"/>
              <w:bottom w:val="single" w:sz="4" w:space="0" w:color="auto"/>
              <w:right w:val="single" w:sz="4" w:space="0" w:color="auto"/>
            </w:tcBorders>
            <w:vAlign w:val="center"/>
          </w:tcPr>
          <w:p w:rsidR="000647F2" w:rsidRPr="00796F38" w:rsidRDefault="000647F2" w:rsidP="00B972FD">
            <w:pPr>
              <w:jc w:val="center"/>
              <w:rPr>
                <w:rFonts w:ascii="Arial" w:hAnsi="Arial" w:cs="Arial"/>
                <w:b/>
                <w:i/>
              </w:rPr>
            </w:pPr>
            <w:r w:rsidRPr="005C2578">
              <w:rPr>
                <w:rFonts w:ascii="Arial" w:hAnsi="Arial" w:cs="Arial"/>
                <w:b/>
                <w:i/>
              </w:rPr>
              <w:t>1.21</w:t>
            </w:r>
          </w:p>
        </w:tc>
        <w:tc>
          <w:tcPr>
            <w:tcW w:w="1275" w:type="dxa"/>
            <w:tcBorders>
              <w:top w:val="single" w:sz="4" w:space="0" w:color="auto"/>
              <w:left w:val="single" w:sz="4" w:space="0" w:color="auto"/>
              <w:bottom w:val="single" w:sz="4" w:space="0" w:color="auto"/>
              <w:right w:val="single" w:sz="4" w:space="0" w:color="auto"/>
            </w:tcBorders>
            <w:vAlign w:val="center"/>
          </w:tcPr>
          <w:p w:rsidR="000647F2" w:rsidRPr="00796F38" w:rsidRDefault="000647F2" w:rsidP="00B972FD">
            <w:pPr>
              <w:jc w:val="center"/>
              <w:rPr>
                <w:rFonts w:ascii="Arial" w:hAnsi="Arial" w:cs="Arial"/>
                <w:b/>
                <w:i/>
              </w:rPr>
            </w:pPr>
            <w:r w:rsidRPr="00796F38">
              <w:rPr>
                <w:rFonts w:ascii="Arial" w:hAnsi="Arial" w:cs="Arial"/>
                <w:b/>
                <w:i/>
              </w:rPr>
              <w:t>1.09</w:t>
            </w:r>
          </w:p>
        </w:tc>
        <w:tc>
          <w:tcPr>
            <w:tcW w:w="1276" w:type="dxa"/>
            <w:tcBorders>
              <w:top w:val="single" w:sz="4" w:space="0" w:color="auto"/>
              <w:left w:val="single" w:sz="4" w:space="0" w:color="auto"/>
              <w:bottom w:val="single" w:sz="4" w:space="0" w:color="auto"/>
              <w:right w:val="single" w:sz="4" w:space="0" w:color="auto"/>
            </w:tcBorders>
            <w:vAlign w:val="center"/>
          </w:tcPr>
          <w:p w:rsidR="000647F2" w:rsidRPr="00796F38" w:rsidRDefault="000647F2" w:rsidP="00B972FD">
            <w:pPr>
              <w:jc w:val="center"/>
              <w:rPr>
                <w:rFonts w:ascii="Arial" w:hAnsi="Arial" w:cs="Arial"/>
                <w:b/>
                <w:i/>
              </w:rPr>
            </w:pPr>
            <w:r w:rsidRPr="00796F38">
              <w:rPr>
                <w:rFonts w:ascii="Arial" w:hAnsi="Arial" w:cs="Arial"/>
                <w:b/>
                <w:i/>
              </w:rPr>
              <w:t>1.05</w:t>
            </w:r>
          </w:p>
        </w:tc>
        <w:tc>
          <w:tcPr>
            <w:tcW w:w="1276" w:type="dxa"/>
            <w:tcBorders>
              <w:top w:val="single" w:sz="4" w:space="0" w:color="auto"/>
              <w:left w:val="single" w:sz="4" w:space="0" w:color="auto"/>
              <w:bottom w:val="single" w:sz="4" w:space="0" w:color="auto"/>
              <w:right w:val="single" w:sz="4" w:space="0" w:color="auto"/>
            </w:tcBorders>
            <w:vAlign w:val="center"/>
          </w:tcPr>
          <w:p w:rsidR="000647F2" w:rsidRPr="00796F38" w:rsidRDefault="00907BBC" w:rsidP="00B972FD">
            <w:pPr>
              <w:jc w:val="center"/>
              <w:rPr>
                <w:rFonts w:ascii="Arial" w:hAnsi="Arial" w:cs="Arial"/>
                <w:b/>
                <w:i/>
              </w:rPr>
            </w:pPr>
            <w:r>
              <w:rPr>
                <w:rFonts w:ascii="Arial" w:hAnsi="Arial" w:cs="Arial"/>
                <w:b/>
                <w:i/>
              </w:rPr>
              <w:t>1.27</w:t>
            </w:r>
          </w:p>
        </w:tc>
      </w:tr>
      <w:tr w:rsidR="000647F2" w:rsidRPr="00604120" w:rsidTr="00151548">
        <w:trPr>
          <w:trHeight w:val="205"/>
        </w:trPr>
        <w:tc>
          <w:tcPr>
            <w:tcW w:w="3227" w:type="dxa"/>
            <w:tcBorders>
              <w:top w:val="single" w:sz="4" w:space="0" w:color="auto"/>
              <w:left w:val="single" w:sz="4" w:space="0" w:color="auto"/>
              <w:bottom w:val="single" w:sz="4" w:space="0" w:color="auto"/>
              <w:right w:val="single" w:sz="4" w:space="0" w:color="auto"/>
            </w:tcBorders>
            <w:vAlign w:val="center"/>
          </w:tcPr>
          <w:p w:rsidR="000647F2" w:rsidRPr="00BF5CDB" w:rsidRDefault="000647F2" w:rsidP="00B972FD">
            <w:pPr>
              <w:jc w:val="both"/>
              <w:rPr>
                <w:rFonts w:ascii="Arial" w:eastAsia="Calibri" w:hAnsi="Arial" w:cs="Arial"/>
                <w:b/>
                <w:bCs/>
              </w:rPr>
            </w:pPr>
            <w:r w:rsidRPr="00BF5CDB">
              <w:rPr>
                <w:rFonts w:ascii="Arial" w:eastAsia="Calibri" w:hAnsi="Arial" w:cs="Arial"/>
                <w:b/>
                <w:bCs/>
              </w:rPr>
              <w:t>Коэффициент быстрой ликвидности</w:t>
            </w:r>
          </w:p>
          <w:p w:rsidR="000647F2" w:rsidRPr="00BF5CDB" w:rsidRDefault="000647F2" w:rsidP="00B972FD">
            <w:pPr>
              <w:jc w:val="both"/>
              <w:rPr>
                <w:rFonts w:ascii="Arial" w:eastAsia="Calibri" w:hAnsi="Arial" w:cs="Arial"/>
                <w:bCs/>
              </w:rPr>
            </w:pPr>
            <w:r w:rsidRPr="00BF5CDB">
              <w:rPr>
                <w:rFonts w:ascii="Arial" w:eastAsia="Calibri" w:hAnsi="Arial" w:cs="Arial"/>
                <w:bCs/>
              </w:rPr>
              <w:t>(Оборотные активы - Запасы - Налог на добавленную стоимость по приобретенным ценностям - Долгосрочная дебиторская задолженность) / Краткосрочные обязательства (не включая Доходы будущих периодов)</w:t>
            </w:r>
          </w:p>
          <w:p w:rsidR="000647F2" w:rsidRPr="00604120" w:rsidRDefault="000647F2" w:rsidP="00B972FD">
            <w:pPr>
              <w:ind w:left="34" w:right="34"/>
              <w:jc w:val="center"/>
              <w:rPr>
                <w:rFonts w:eastAsia="Calibri"/>
                <w:b/>
                <w:bCs/>
              </w:rPr>
            </w:pPr>
          </w:p>
        </w:tc>
        <w:tc>
          <w:tcPr>
            <w:tcW w:w="1276" w:type="dxa"/>
            <w:tcBorders>
              <w:top w:val="single" w:sz="4" w:space="0" w:color="auto"/>
              <w:left w:val="nil"/>
              <w:bottom w:val="single" w:sz="4" w:space="0" w:color="auto"/>
              <w:right w:val="single" w:sz="4" w:space="0" w:color="auto"/>
            </w:tcBorders>
            <w:vAlign w:val="center"/>
          </w:tcPr>
          <w:p w:rsidR="000647F2" w:rsidRPr="00796F38" w:rsidRDefault="000647F2" w:rsidP="00B972FD">
            <w:pPr>
              <w:jc w:val="center"/>
              <w:rPr>
                <w:rFonts w:ascii="Arial" w:hAnsi="Arial" w:cs="Arial"/>
                <w:b/>
                <w:i/>
              </w:rPr>
            </w:pPr>
            <w:r w:rsidRPr="005C2578">
              <w:rPr>
                <w:rFonts w:ascii="Arial" w:hAnsi="Arial" w:cs="Arial"/>
                <w:b/>
                <w:i/>
              </w:rPr>
              <w:t>0.51</w:t>
            </w:r>
          </w:p>
        </w:tc>
        <w:tc>
          <w:tcPr>
            <w:tcW w:w="1276" w:type="dxa"/>
            <w:tcBorders>
              <w:top w:val="single" w:sz="4" w:space="0" w:color="auto"/>
              <w:left w:val="nil"/>
              <w:bottom w:val="single" w:sz="4" w:space="0" w:color="auto"/>
              <w:right w:val="single" w:sz="4" w:space="0" w:color="auto"/>
            </w:tcBorders>
            <w:vAlign w:val="center"/>
          </w:tcPr>
          <w:p w:rsidR="000647F2" w:rsidRPr="00796F38" w:rsidRDefault="000647F2" w:rsidP="00B972FD">
            <w:pPr>
              <w:jc w:val="center"/>
              <w:rPr>
                <w:rFonts w:ascii="Arial" w:hAnsi="Arial" w:cs="Arial"/>
                <w:b/>
                <w:i/>
              </w:rPr>
            </w:pPr>
            <w:r>
              <w:rPr>
                <w:rFonts w:ascii="Arial" w:hAnsi="Arial" w:cs="Arial"/>
                <w:b/>
                <w:i/>
              </w:rPr>
              <w:t>0.75</w:t>
            </w:r>
          </w:p>
        </w:tc>
        <w:tc>
          <w:tcPr>
            <w:tcW w:w="1275" w:type="dxa"/>
            <w:tcBorders>
              <w:top w:val="single" w:sz="4" w:space="0" w:color="auto"/>
              <w:left w:val="nil"/>
              <w:bottom w:val="single" w:sz="4" w:space="0" w:color="auto"/>
              <w:right w:val="single" w:sz="4" w:space="0" w:color="auto"/>
            </w:tcBorders>
            <w:vAlign w:val="center"/>
          </w:tcPr>
          <w:p w:rsidR="000647F2" w:rsidRPr="00796F38" w:rsidRDefault="000647F2" w:rsidP="00B972FD">
            <w:pPr>
              <w:jc w:val="center"/>
              <w:rPr>
                <w:rFonts w:ascii="Arial" w:hAnsi="Arial" w:cs="Arial"/>
                <w:b/>
                <w:i/>
              </w:rPr>
            </w:pPr>
            <w:r w:rsidRPr="00796F38">
              <w:rPr>
                <w:rFonts w:ascii="Arial" w:hAnsi="Arial" w:cs="Arial"/>
                <w:b/>
                <w:i/>
              </w:rPr>
              <w:t>0.85</w:t>
            </w:r>
          </w:p>
        </w:tc>
        <w:tc>
          <w:tcPr>
            <w:tcW w:w="1276" w:type="dxa"/>
            <w:tcBorders>
              <w:top w:val="single" w:sz="4" w:space="0" w:color="auto"/>
              <w:left w:val="single" w:sz="4" w:space="0" w:color="auto"/>
              <w:bottom w:val="single" w:sz="4" w:space="0" w:color="auto"/>
              <w:right w:val="single" w:sz="4" w:space="0" w:color="auto"/>
            </w:tcBorders>
            <w:vAlign w:val="center"/>
          </w:tcPr>
          <w:p w:rsidR="000647F2" w:rsidRPr="00796F38" w:rsidRDefault="000647F2" w:rsidP="00B972FD">
            <w:pPr>
              <w:jc w:val="center"/>
              <w:rPr>
                <w:rFonts w:ascii="Arial" w:hAnsi="Arial" w:cs="Arial"/>
                <w:b/>
                <w:i/>
              </w:rPr>
            </w:pPr>
            <w:r>
              <w:rPr>
                <w:rFonts w:ascii="Arial" w:hAnsi="Arial" w:cs="Arial"/>
                <w:b/>
                <w:i/>
              </w:rPr>
              <w:t>0.76</w:t>
            </w:r>
          </w:p>
        </w:tc>
        <w:tc>
          <w:tcPr>
            <w:tcW w:w="1276" w:type="dxa"/>
            <w:tcBorders>
              <w:top w:val="single" w:sz="4" w:space="0" w:color="auto"/>
              <w:left w:val="single" w:sz="4" w:space="0" w:color="auto"/>
              <w:bottom w:val="single" w:sz="4" w:space="0" w:color="auto"/>
              <w:right w:val="single" w:sz="4" w:space="0" w:color="auto"/>
            </w:tcBorders>
            <w:vAlign w:val="center"/>
          </w:tcPr>
          <w:p w:rsidR="000647F2" w:rsidRPr="00796F38" w:rsidRDefault="00907BBC" w:rsidP="00B972FD">
            <w:pPr>
              <w:jc w:val="center"/>
              <w:rPr>
                <w:rFonts w:ascii="Arial" w:hAnsi="Arial" w:cs="Arial"/>
                <w:b/>
                <w:i/>
              </w:rPr>
            </w:pPr>
            <w:r>
              <w:rPr>
                <w:rFonts w:ascii="Arial" w:hAnsi="Arial" w:cs="Arial"/>
                <w:b/>
                <w:i/>
              </w:rPr>
              <w:t>0.92</w:t>
            </w:r>
          </w:p>
        </w:tc>
      </w:tr>
    </w:tbl>
    <w:p w:rsidR="000647F2" w:rsidRDefault="000647F2" w:rsidP="000647F2">
      <w:pPr>
        <w:ind w:firstLine="567"/>
        <w:rPr>
          <w:bCs/>
        </w:rPr>
      </w:pPr>
    </w:p>
    <w:p w:rsidR="00366F6A" w:rsidRDefault="00366F6A" w:rsidP="00366F6A">
      <w:pPr>
        <w:ind w:firstLine="567"/>
        <w:jc w:val="both"/>
        <w:rPr>
          <w:rFonts w:ascii="Arial" w:hAnsi="Arial" w:cs="Arial"/>
          <w:b/>
          <w:i/>
        </w:rPr>
      </w:pPr>
      <w:r w:rsidRPr="00DD69E4">
        <w:rPr>
          <w:rFonts w:ascii="Arial" w:hAnsi="Arial" w:cs="Arial"/>
          <w:b/>
          <w:i/>
        </w:rPr>
        <w:t xml:space="preserve">Для расчета приведенных показателей </w:t>
      </w:r>
      <w:r>
        <w:rPr>
          <w:rFonts w:ascii="Arial" w:hAnsi="Arial" w:cs="Arial"/>
          <w:b/>
          <w:i/>
        </w:rPr>
        <w:t xml:space="preserve">за каждый из пяти завершенных финансовых лет </w:t>
      </w:r>
      <w:r w:rsidRPr="00DD69E4">
        <w:rPr>
          <w:rFonts w:ascii="Arial" w:hAnsi="Arial" w:cs="Arial"/>
          <w:b/>
          <w:i/>
        </w:rPr>
        <w:t xml:space="preserve">использовалась методика, рекомендованная </w:t>
      </w:r>
      <w:r>
        <w:rPr>
          <w:rFonts w:ascii="Arial" w:hAnsi="Arial" w:cs="Arial"/>
          <w:b/>
          <w:i/>
        </w:rPr>
        <w:t>Положением о раскрытии</w:t>
      </w:r>
      <w:r w:rsidRPr="00DD69E4">
        <w:rPr>
          <w:rFonts w:ascii="Arial" w:hAnsi="Arial" w:cs="Arial"/>
          <w:b/>
          <w:i/>
        </w:rPr>
        <w:t xml:space="preserve">, исходя из данных </w:t>
      </w:r>
      <w:r>
        <w:rPr>
          <w:rFonts w:ascii="Arial" w:hAnsi="Arial" w:cs="Arial"/>
          <w:b/>
          <w:i/>
        </w:rPr>
        <w:t xml:space="preserve">аудированной </w:t>
      </w:r>
      <w:r w:rsidRPr="00DD69E4">
        <w:rPr>
          <w:rFonts w:ascii="Arial" w:hAnsi="Arial" w:cs="Arial"/>
          <w:b/>
          <w:i/>
        </w:rPr>
        <w:t>бухгалтерской отчетности Эмитента</w:t>
      </w:r>
      <w:r>
        <w:rPr>
          <w:rFonts w:ascii="Arial" w:hAnsi="Arial" w:cs="Arial"/>
          <w:b/>
          <w:i/>
        </w:rPr>
        <w:t xml:space="preserve"> за соответствующие отчётные годы</w:t>
      </w:r>
      <w:r w:rsidRPr="00DD69E4">
        <w:rPr>
          <w:rFonts w:ascii="Arial" w:hAnsi="Arial" w:cs="Arial"/>
          <w:b/>
          <w:i/>
        </w:rPr>
        <w:t xml:space="preserve">, составленной по </w:t>
      </w:r>
      <w:r>
        <w:rPr>
          <w:rFonts w:ascii="Arial" w:hAnsi="Arial" w:cs="Arial"/>
          <w:b/>
          <w:i/>
        </w:rPr>
        <w:t>Российским стандартам бухгалтерской отчетности (</w:t>
      </w:r>
      <w:r w:rsidRPr="00DD69E4">
        <w:rPr>
          <w:rFonts w:ascii="Arial" w:hAnsi="Arial" w:cs="Arial"/>
          <w:b/>
          <w:i/>
        </w:rPr>
        <w:t>РСБУ</w:t>
      </w:r>
      <w:r>
        <w:rPr>
          <w:rFonts w:ascii="Arial" w:hAnsi="Arial" w:cs="Arial"/>
          <w:b/>
          <w:i/>
        </w:rPr>
        <w:t>)</w:t>
      </w:r>
      <w:r w:rsidRPr="00DD69E4">
        <w:rPr>
          <w:rFonts w:ascii="Arial" w:hAnsi="Arial" w:cs="Arial"/>
          <w:b/>
          <w:i/>
        </w:rPr>
        <w:t>.</w:t>
      </w:r>
      <w:r>
        <w:rPr>
          <w:rFonts w:ascii="Arial" w:hAnsi="Arial" w:cs="Arial"/>
          <w:b/>
          <w:i/>
        </w:rPr>
        <w:t xml:space="preserve"> </w:t>
      </w:r>
    </w:p>
    <w:p w:rsidR="00366F6A" w:rsidRDefault="00366F6A" w:rsidP="00366F6A">
      <w:pPr>
        <w:ind w:firstLine="567"/>
        <w:jc w:val="both"/>
        <w:rPr>
          <w:rFonts w:ascii="Arial" w:hAnsi="Arial" w:cs="Arial"/>
          <w:b/>
          <w:i/>
        </w:rPr>
      </w:pPr>
      <w:r w:rsidRPr="004D7349">
        <w:rPr>
          <w:rFonts w:ascii="Arial" w:hAnsi="Arial" w:cs="Arial"/>
          <w:b/>
          <w:i/>
        </w:rPr>
        <w:t>Далее экономический анализ ликвидности и платежеспособности Эмитента, достаточности собственного капитала Эмитента для исполнения краткосрочных обязательств и покрытия текущих операционных расходов Эмитента осуществляется на основе экономического анализа динамики приведенных выше показателей.</w:t>
      </w:r>
    </w:p>
    <w:p w:rsidR="00723137" w:rsidRPr="00604120" w:rsidRDefault="00723137" w:rsidP="000647F2">
      <w:pPr>
        <w:ind w:firstLine="567"/>
        <w:rPr>
          <w:bCs/>
        </w:rPr>
      </w:pPr>
    </w:p>
    <w:p w:rsidR="000647F2" w:rsidRPr="0081789B" w:rsidRDefault="000647F2" w:rsidP="0081789B">
      <w:pPr>
        <w:ind w:firstLine="567"/>
        <w:jc w:val="both"/>
        <w:rPr>
          <w:rFonts w:ascii="Arial" w:hAnsi="Arial" w:cs="Arial"/>
          <w:b/>
          <w:i/>
        </w:rPr>
      </w:pPr>
      <w:r w:rsidRPr="00604120">
        <w:rPr>
          <w:rFonts w:eastAsia="Calibri"/>
          <w:bCs/>
        </w:rPr>
        <w:t>В случае если эмитент помимо бухгалтерской (финансовой) отчетности составляет также консолидированную финансовую отчетность, дополнительно может быть приведена динамика показателей, характеризующих ликвидность эмитента, расчет которых осуществляется на основании консолидированной финансовой отчетности эмитента, с указанием этого обстоятельства:</w:t>
      </w:r>
      <w:r w:rsidRPr="00604120">
        <w:rPr>
          <w:rFonts w:eastAsia="Calibri"/>
          <w:b/>
          <w:bCs/>
        </w:rPr>
        <w:t xml:space="preserve"> </w:t>
      </w:r>
      <w:r w:rsidRPr="0081789B">
        <w:rPr>
          <w:rFonts w:ascii="Arial" w:hAnsi="Arial" w:cs="Arial"/>
          <w:b/>
          <w:i/>
        </w:rPr>
        <w:t>Расчет показателей осуществлен по методике, рекомендуемой Положением о раскрытии.</w:t>
      </w:r>
    </w:p>
    <w:p w:rsidR="000647F2" w:rsidRPr="00604120" w:rsidRDefault="000647F2" w:rsidP="0081789B">
      <w:pPr>
        <w:ind w:firstLine="567"/>
        <w:rPr>
          <w:bCs/>
        </w:rPr>
      </w:pPr>
    </w:p>
    <w:p w:rsidR="000647F2" w:rsidRDefault="000647F2" w:rsidP="00DF5FA1">
      <w:pPr>
        <w:ind w:firstLine="567"/>
        <w:jc w:val="both"/>
        <w:rPr>
          <w:rFonts w:eastAsia="Calibri"/>
        </w:rPr>
      </w:pPr>
      <w:r w:rsidRPr="00604120">
        <w:rPr>
          <w:rFonts w:eastAsia="Calibri"/>
        </w:rPr>
        <w:t>Экономический анализ ликвидности и платежеспособности эмитента, достаточности собственного капитала эмитента для исполнения краткосрочных обязательств и покрытия текущих операционных расходов эмитента на основе экономического анализа динамики приведенных показателей</w:t>
      </w:r>
      <w:r w:rsidR="00DF5FA1">
        <w:rPr>
          <w:rFonts w:eastAsia="Calibri"/>
        </w:rPr>
        <w:t xml:space="preserve">, </w:t>
      </w:r>
      <w:r w:rsidR="00DF5FA1" w:rsidRPr="00DF5FA1">
        <w:rPr>
          <w:rFonts w:eastAsia="Calibri"/>
          <w:u w:val="single"/>
        </w:rPr>
        <w:t>рассчитанных на основании данных аудированной бухгалтерской отчетности Эмитента за соответствующие отчётные годы, составленной по Российским стандартам бухгалтерской отчетности (РСБУ) (при последующем анализе не учитываются данные, приведенные справочно)</w:t>
      </w:r>
      <w:r w:rsidRPr="00604120">
        <w:rPr>
          <w:rFonts w:eastAsia="Calibri"/>
        </w:rPr>
        <w:t>:</w:t>
      </w:r>
    </w:p>
    <w:p w:rsidR="00670D27" w:rsidRPr="00604120" w:rsidRDefault="00670D27" w:rsidP="00DF5FA1">
      <w:pPr>
        <w:ind w:firstLine="567"/>
        <w:jc w:val="both"/>
        <w:rPr>
          <w:rFonts w:eastAsia="Calibri"/>
        </w:rPr>
      </w:pPr>
    </w:p>
    <w:p w:rsidR="000647F2" w:rsidRPr="001C5676" w:rsidRDefault="000647F2" w:rsidP="000647F2">
      <w:pPr>
        <w:widowControl/>
        <w:spacing w:before="0" w:after="0"/>
        <w:ind w:firstLine="567"/>
        <w:jc w:val="both"/>
        <w:rPr>
          <w:rFonts w:ascii="TimesNewRomanPS-BoldItalicMT" w:eastAsiaTheme="minorHAnsi" w:hAnsi="TimesNewRomanPS-BoldItalicMT" w:cs="TimesNewRomanPS-BoldItalicMT"/>
          <w:b/>
          <w:bCs/>
          <w:i/>
          <w:iCs/>
          <w:lang w:eastAsia="en-US"/>
        </w:rPr>
      </w:pPr>
      <w:r w:rsidRPr="008017DD">
        <w:rPr>
          <w:rFonts w:ascii="Times New Roman,BoldItalic" w:eastAsiaTheme="minorHAnsi" w:hAnsi="Times New Roman,BoldItalic" w:cs="Times New Roman,BoldItalic"/>
          <w:b/>
          <w:bCs/>
          <w:i/>
          <w:iCs/>
          <w:u w:val="single"/>
          <w:lang w:eastAsia="en-US"/>
        </w:rPr>
        <w:t>Показатель «Чистый оборотный капитал»</w:t>
      </w:r>
      <w:r w:rsidRPr="008017DD">
        <w:rPr>
          <w:rFonts w:ascii="Times New Roman,BoldItalic" w:eastAsiaTheme="minorHAnsi" w:hAnsi="Times New Roman,BoldItalic" w:cs="Times New Roman,BoldItalic"/>
          <w:b/>
          <w:bCs/>
          <w:i/>
          <w:iCs/>
          <w:lang w:eastAsia="en-US"/>
        </w:rPr>
        <w:t xml:space="preserve"> </w:t>
      </w:r>
      <w:r w:rsidRPr="008017DD">
        <w:rPr>
          <w:rFonts w:ascii="TimesNewRomanPS-BoldItalicMT" w:eastAsiaTheme="minorHAnsi" w:hAnsi="TimesNewRomanPS-BoldItalicMT" w:cs="TimesNewRomanPS-BoldItalicMT"/>
          <w:b/>
          <w:bCs/>
          <w:i/>
          <w:iCs/>
          <w:lang w:eastAsia="en-US"/>
        </w:rPr>
        <w:t>характеризует величину оборотного капитала, свободного от краткосрочных</w:t>
      </w:r>
      <w:r w:rsidRPr="001C5676">
        <w:rPr>
          <w:rFonts w:ascii="TimesNewRomanPS-BoldItalicMT" w:eastAsiaTheme="minorHAnsi" w:hAnsi="TimesNewRomanPS-BoldItalicMT" w:cs="TimesNewRomanPS-BoldItalicMT"/>
          <w:b/>
          <w:bCs/>
          <w:i/>
          <w:iCs/>
          <w:lang w:eastAsia="en-US"/>
        </w:rPr>
        <w:t xml:space="preserve"> обязательств, т.е. долю оборотных средств компании, которая профинансирована из долгосрочных источников и которую не надо использовать для погашения текущего долга. </w:t>
      </w:r>
    </w:p>
    <w:p w:rsidR="000647F2" w:rsidRPr="001C5676" w:rsidRDefault="000647F2" w:rsidP="000647F2">
      <w:pPr>
        <w:widowControl/>
        <w:spacing w:before="0" w:after="0"/>
        <w:ind w:firstLine="567"/>
        <w:jc w:val="both"/>
        <w:rPr>
          <w:rFonts w:ascii="TimesNewRomanPS-BoldItalicMT" w:eastAsiaTheme="minorHAnsi" w:hAnsi="TimesNewRomanPS-BoldItalicMT" w:cs="TimesNewRomanPS-BoldItalicMT"/>
          <w:b/>
          <w:bCs/>
          <w:i/>
          <w:iCs/>
          <w:lang w:eastAsia="en-US"/>
        </w:rPr>
      </w:pPr>
      <w:r w:rsidRPr="001C5676">
        <w:rPr>
          <w:rFonts w:ascii="TimesNewRomanPS-BoldItalicMT" w:eastAsiaTheme="minorHAnsi" w:hAnsi="TimesNewRomanPS-BoldItalicMT" w:cs="TimesNewRomanPS-BoldItalicMT"/>
          <w:b/>
          <w:bCs/>
          <w:i/>
          <w:iCs/>
          <w:lang w:eastAsia="en-US"/>
        </w:rPr>
        <w:t>Положительная величина показателя на всем анализируемом промежутке свидетельствует о том, что у Эмитента есть свободные ресурсы, которые могут быть задействованы для бесперебойной деятельности, при этом обслуживание всех текущих обязательств не прекращается, они могут быть погашены без приостановления деятельности. Это положительно характеризует эмитента с точки зрения финансовой устойчивости и ликвидности.</w:t>
      </w:r>
    </w:p>
    <w:p w:rsidR="00B1534C" w:rsidRPr="00B1534C" w:rsidRDefault="00B1534C" w:rsidP="00B1534C">
      <w:pPr>
        <w:widowControl/>
        <w:spacing w:before="0" w:after="0"/>
        <w:ind w:firstLine="567"/>
        <w:jc w:val="both"/>
        <w:rPr>
          <w:rFonts w:ascii="TimesNewRomanPS-BoldItalicMT" w:eastAsiaTheme="minorHAnsi" w:hAnsi="TimesNewRomanPS-BoldItalicMT" w:cs="TimesNewRomanPS-BoldItalicMT"/>
          <w:b/>
          <w:bCs/>
          <w:i/>
          <w:iCs/>
          <w:lang w:eastAsia="en-US"/>
        </w:rPr>
      </w:pPr>
      <w:r w:rsidRPr="00B1534C">
        <w:rPr>
          <w:rFonts w:ascii="TimesNewRomanPS-BoldItalicMT" w:eastAsiaTheme="minorHAnsi" w:hAnsi="TimesNewRomanPS-BoldItalicMT" w:cs="TimesNewRomanPS-BoldItalicMT"/>
          <w:b/>
          <w:bCs/>
          <w:i/>
          <w:iCs/>
          <w:lang w:eastAsia="en-US"/>
        </w:rPr>
        <w:t xml:space="preserve">Причинами существенного роста </w:t>
      </w:r>
      <w:r w:rsidR="008017DD">
        <w:rPr>
          <w:rFonts w:ascii="TimesNewRomanPS-BoldItalicMT" w:eastAsiaTheme="minorHAnsi" w:hAnsi="TimesNewRomanPS-BoldItalicMT" w:cs="TimesNewRomanPS-BoldItalicMT"/>
          <w:b/>
          <w:bCs/>
          <w:i/>
          <w:iCs/>
          <w:lang w:eastAsia="en-US"/>
        </w:rPr>
        <w:t>«Ч</w:t>
      </w:r>
      <w:r w:rsidRPr="00B1534C">
        <w:rPr>
          <w:rFonts w:ascii="TimesNewRomanPS-BoldItalicMT" w:eastAsiaTheme="minorHAnsi" w:hAnsi="TimesNewRomanPS-BoldItalicMT" w:cs="TimesNewRomanPS-BoldItalicMT"/>
          <w:b/>
          <w:bCs/>
          <w:i/>
          <w:iCs/>
          <w:lang w:eastAsia="en-US"/>
        </w:rPr>
        <w:t>истого оборотного капитала</w:t>
      </w:r>
      <w:r w:rsidR="008017DD">
        <w:rPr>
          <w:rFonts w:ascii="TimesNewRomanPS-BoldItalicMT" w:eastAsiaTheme="minorHAnsi" w:hAnsi="TimesNewRomanPS-BoldItalicMT" w:cs="TimesNewRomanPS-BoldItalicMT"/>
          <w:b/>
          <w:bCs/>
          <w:i/>
          <w:iCs/>
          <w:lang w:eastAsia="en-US"/>
        </w:rPr>
        <w:t>»</w:t>
      </w:r>
      <w:r w:rsidRPr="00B1534C">
        <w:rPr>
          <w:rFonts w:ascii="TimesNewRomanPS-BoldItalicMT" w:eastAsiaTheme="minorHAnsi" w:hAnsi="TimesNewRomanPS-BoldItalicMT" w:cs="TimesNewRomanPS-BoldItalicMT"/>
          <w:b/>
          <w:bCs/>
          <w:i/>
          <w:iCs/>
          <w:lang w:eastAsia="en-US"/>
        </w:rPr>
        <w:t xml:space="preserve"> в 2012 году по сравнению с сопоставимым периодом 2011 года являются:</w:t>
      </w:r>
    </w:p>
    <w:p w:rsidR="000647F2" w:rsidRPr="001D69BD" w:rsidRDefault="000647F2" w:rsidP="00B1534C">
      <w:pPr>
        <w:pStyle w:val="a9"/>
        <w:widowControl/>
        <w:numPr>
          <w:ilvl w:val="0"/>
          <w:numId w:val="5"/>
        </w:numPr>
        <w:spacing w:before="0" w:after="0"/>
        <w:ind w:left="0" w:firstLine="567"/>
        <w:jc w:val="both"/>
        <w:rPr>
          <w:rFonts w:ascii="TimesNewRomanPS-BoldItalicMT" w:eastAsiaTheme="minorHAnsi" w:hAnsi="TimesNewRomanPS-BoldItalicMT" w:cs="TimesNewRomanPS-BoldItalicMT"/>
          <w:b/>
          <w:bCs/>
          <w:i/>
          <w:iCs/>
          <w:lang w:eastAsia="en-US"/>
        </w:rPr>
      </w:pPr>
      <w:r w:rsidRPr="001D69BD">
        <w:rPr>
          <w:rFonts w:ascii="TimesNewRomanPS-BoldItalicMT" w:eastAsiaTheme="minorHAnsi" w:hAnsi="TimesNewRomanPS-BoldItalicMT" w:cs="TimesNewRomanPS-BoldItalicMT"/>
          <w:b/>
          <w:bCs/>
          <w:i/>
          <w:iCs/>
          <w:lang w:eastAsia="en-US"/>
        </w:rPr>
        <w:t>увеличение собственного капитала Эмитента, что является следствием роста</w:t>
      </w:r>
      <w:r>
        <w:rPr>
          <w:rFonts w:ascii="TimesNewRomanPS-BoldItalicMT" w:eastAsiaTheme="minorHAnsi" w:hAnsi="TimesNewRomanPS-BoldItalicMT" w:cs="TimesNewRomanPS-BoldItalicMT"/>
          <w:b/>
          <w:bCs/>
          <w:i/>
          <w:iCs/>
          <w:lang w:eastAsia="en-US"/>
        </w:rPr>
        <w:t xml:space="preserve"> </w:t>
      </w:r>
      <w:r w:rsidRPr="001D69BD">
        <w:rPr>
          <w:rFonts w:ascii="TimesNewRomanPS-BoldItalicMT" w:eastAsiaTheme="minorHAnsi" w:hAnsi="TimesNewRomanPS-BoldItalicMT" w:cs="TimesNewRomanPS-BoldItalicMT"/>
          <w:b/>
          <w:bCs/>
          <w:i/>
          <w:iCs/>
          <w:lang w:eastAsia="en-US"/>
        </w:rPr>
        <w:t>нераспределённой прибыли при сохранении консервативной политики вложений во внеоборотные активы в рассматриваемом периоде,</w:t>
      </w:r>
    </w:p>
    <w:p w:rsidR="000647F2" w:rsidRPr="001D69BD" w:rsidRDefault="000647F2" w:rsidP="00B1534C">
      <w:pPr>
        <w:pStyle w:val="a9"/>
        <w:widowControl/>
        <w:numPr>
          <w:ilvl w:val="0"/>
          <w:numId w:val="5"/>
        </w:numPr>
        <w:spacing w:before="0" w:after="0"/>
        <w:ind w:left="0" w:firstLine="567"/>
        <w:jc w:val="both"/>
        <w:rPr>
          <w:rFonts w:ascii="Times New Roman,BoldItalic" w:eastAsiaTheme="minorHAnsi" w:hAnsi="Times New Roman,BoldItalic" w:cs="Times New Roman,BoldItalic"/>
          <w:b/>
          <w:bCs/>
          <w:i/>
          <w:iCs/>
          <w:sz w:val="22"/>
          <w:szCs w:val="22"/>
          <w:lang w:eastAsia="en-US"/>
        </w:rPr>
      </w:pPr>
      <w:r w:rsidRPr="001D69BD">
        <w:rPr>
          <w:rFonts w:ascii="TimesNewRomanPS-BoldItalicMT" w:eastAsiaTheme="minorHAnsi" w:hAnsi="TimesNewRomanPS-BoldItalicMT" w:cs="TimesNewRomanPS-BoldItalicMT"/>
          <w:b/>
          <w:bCs/>
          <w:i/>
          <w:iCs/>
          <w:lang w:eastAsia="en-US"/>
        </w:rPr>
        <w:t>увеличение денежных средств Эмитента, источником которого стало привлечение в 2012 году долгосрочного заёмного финансирования и рост собственного капитала.</w:t>
      </w:r>
    </w:p>
    <w:p w:rsidR="000647F2" w:rsidRPr="00B3527D" w:rsidRDefault="000676B2" w:rsidP="000647F2">
      <w:pPr>
        <w:widowControl/>
        <w:spacing w:before="0" w:after="0"/>
        <w:ind w:firstLine="567"/>
        <w:jc w:val="both"/>
        <w:rPr>
          <w:rFonts w:ascii="Times New Roman,BoldItalic" w:eastAsiaTheme="minorHAnsi" w:hAnsi="Times New Roman,BoldItalic" w:cs="Times New Roman,BoldItalic"/>
          <w:b/>
          <w:bCs/>
          <w:i/>
          <w:iCs/>
          <w:sz w:val="22"/>
          <w:szCs w:val="22"/>
          <w:lang w:eastAsia="en-US"/>
        </w:rPr>
      </w:pPr>
      <w:r>
        <w:rPr>
          <w:rFonts w:ascii="TimesNewRomanPS-BoldItalicMT" w:eastAsiaTheme="minorHAnsi" w:hAnsi="TimesNewRomanPS-BoldItalicMT" w:cs="TimesNewRomanPS-BoldItalicMT"/>
          <w:b/>
          <w:bCs/>
          <w:i/>
          <w:iCs/>
          <w:lang w:eastAsia="en-US"/>
        </w:rPr>
        <w:t>По итогам</w:t>
      </w:r>
      <w:r w:rsidR="000647F2" w:rsidRPr="00B3527D">
        <w:rPr>
          <w:rFonts w:ascii="TimesNewRomanPS-BoldItalicMT" w:eastAsiaTheme="minorHAnsi" w:hAnsi="TimesNewRomanPS-BoldItalicMT" w:cs="TimesNewRomanPS-BoldItalicMT"/>
          <w:b/>
          <w:bCs/>
          <w:i/>
          <w:iCs/>
          <w:lang w:eastAsia="en-US"/>
        </w:rPr>
        <w:t xml:space="preserve"> 2013 г</w:t>
      </w:r>
      <w:r w:rsidR="000647F2">
        <w:rPr>
          <w:rFonts w:ascii="TimesNewRomanPS-BoldItalicMT" w:eastAsiaTheme="minorHAnsi" w:hAnsi="TimesNewRomanPS-BoldItalicMT" w:cs="TimesNewRomanPS-BoldItalicMT"/>
          <w:b/>
          <w:bCs/>
          <w:i/>
          <w:iCs/>
          <w:lang w:eastAsia="en-US"/>
        </w:rPr>
        <w:t xml:space="preserve">ода данный показатель снизился. </w:t>
      </w:r>
      <w:r w:rsidR="000647F2" w:rsidRPr="00B3527D">
        <w:rPr>
          <w:rFonts w:ascii="TimesNewRomanPS-BoldItalicMT" w:eastAsiaTheme="minorHAnsi" w:hAnsi="TimesNewRomanPS-BoldItalicMT" w:cs="TimesNewRomanPS-BoldItalicMT"/>
          <w:b/>
          <w:bCs/>
          <w:i/>
          <w:iCs/>
          <w:lang w:eastAsia="en-US"/>
        </w:rPr>
        <w:t>Причиной снижения чистого оборотного капитала в 2013 г</w:t>
      </w:r>
      <w:r w:rsidR="000647F2">
        <w:rPr>
          <w:rFonts w:ascii="TimesNewRomanPS-BoldItalicMT" w:eastAsiaTheme="minorHAnsi" w:hAnsi="TimesNewRomanPS-BoldItalicMT" w:cs="TimesNewRomanPS-BoldItalicMT"/>
          <w:b/>
          <w:bCs/>
          <w:i/>
          <w:iCs/>
          <w:lang w:eastAsia="en-US"/>
        </w:rPr>
        <w:t>оду являлось увеличение дебитор</w:t>
      </w:r>
      <w:r w:rsidR="000647F2" w:rsidRPr="00B3527D">
        <w:rPr>
          <w:rFonts w:ascii="TimesNewRomanPS-BoldItalicMT" w:eastAsiaTheme="minorHAnsi" w:hAnsi="TimesNewRomanPS-BoldItalicMT" w:cs="TimesNewRomanPS-BoldItalicMT"/>
          <w:b/>
          <w:bCs/>
          <w:i/>
          <w:iCs/>
          <w:lang w:eastAsia="en-US"/>
        </w:rPr>
        <w:t>ской задолженности, как долгосрочной, так и краткосрочной,</w:t>
      </w:r>
      <w:r w:rsidR="000647F2">
        <w:rPr>
          <w:rFonts w:ascii="TimesNewRomanPS-BoldItalicMT" w:eastAsiaTheme="minorHAnsi" w:hAnsi="TimesNewRomanPS-BoldItalicMT" w:cs="TimesNewRomanPS-BoldItalicMT"/>
          <w:b/>
          <w:bCs/>
          <w:i/>
          <w:iCs/>
          <w:lang w:eastAsia="en-US"/>
        </w:rPr>
        <w:t xml:space="preserve"> что связано с операционной дея</w:t>
      </w:r>
      <w:r w:rsidR="000647F2" w:rsidRPr="00B3527D">
        <w:rPr>
          <w:rFonts w:ascii="TimesNewRomanPS-BoldItalicMT" w:eastAsiaTheme="minorHAnsi" w:hAnsi="TimesNewRomanPS-BoldItalicMT" w:cs="TimesNewRomanPS-BoldItalicMT"/>
          <w:b/>
          <w:bCs/>
          <w:i/>
          <w:iCs/>
          <w:lang w:eastAsia="en-US"/>
        </w:rPr>
        <w:t xml:space="preserve">тельностью </w:t>
      </w:r>
      <w:r>
        <w:rPr>
          <w:rFonts w:ascii="TimesNewRomanPS-BoldItalicMT" w:eastAsiaTheme="minorHAnsi" w:hAnsi="TimesNewRomanPS-BoldItalicMT" w:cs="TimesNewRomanPS-BoldItalicMT"/>
          <w:b/>
          <w:bCs/>
          <w:i/>
          <w:iCs/>
          <w:lang w:eastAsia="en-US"/>
        </w:rPr>
        <w:t>Э</w:t>
      </w:r>
      <w:r w:rsidR="000647F2" w:rsidRPr="00B3527D">
        <w:rPr>
          <w:rFonts w:ascii="TimesNewRomanPS-BoldItalicMT" w:eastAsiaTheme="minorHAnsi" w:hAnsi="TimesNewRomanPS-BoldItalicMT" w:cs="TimesNewRomanPS-BoldItalicMT"/>
          <w:b/>
          <w:bCs/>
          <w:i/>
          <w:iCs/>
          <w:lang w:eastAsia="en-US"/>
        </w:rPr>
        <w:t>митента по строительству объектов недвижимости. В качестве основной статьи</w:t>
      </w:r>
      <w:r w:rsidR="000647F2">
        <w:rPr>
          <w:rFonts w:ascii="TimesNewRomanPS-BoldItalicMT" w:eastAsiaTheme="minorHAnsi" w:hAnsi="TimesNewRomanPS-BoldItalicMT" w:cs="TimesNewRomanPS-BoldItalicMT"/>
          <w:b/>
          <w:bCs/>
          <w:i/>
          <w:iCs/>
          <w:lang w:eastAsia="en-US"/>
        </w:rPr>
        <w:t xml:space="preserve"> </w:t>
      </w:r>
      <w:r w:rsidR="000647F2" w:rsidRPr="00B3527D">
        <w:rPr>
          <w:rFonts w:ascii="TimesNewRomanPS-BoldItalicMT" w:eastAsiaTheme="minorHAnsi" w:hAnsi="TimesNewRomanPS-BoldItalicMT" w:cs="TimesNewRomanPS-BoldItalicMT"/>
          <w:b/>
          <w:bCs/>
          <w:i/>
          <w:iCs/>
          <w:lang w:eastAsia="en-US"/>
        </w:rPr>
        <w:t>роста дебиторской задолженности можно отметить увеличение задолженности поставщиков /подрядчиков по передаче выполненных работ / оказанных услуг п</w:t>
      </w:r>
      <w:r w:rsidR="000647F2">
        <w:rPr>
          <w:rFonts w:ascii="TimesNewRomanPS-BoldItalicMT" w:eastAsiaTheme="minorHAnsi" w:hAnsi="TimesNewRomanPS-BoldItalicMT" w:cs="TimesNewRomanPS-BoldItalicMT"/>
          <w:b/>
          <w:bCs/>
          <w:i/>
          <w:iCs/>
          <w:lang w:eastAsia="en-US"/>
        </w:rPr>
        <w:t>о строительству объектов до под</w:t>
      </w:r>
      <w:r w:rsidR="000647F2" w:rsidRPr="00B3527D">
        <w:rPr>
          <w:rFonts w:ascii="TimesNewRomanPS-BoldItalicMT" w:eastAsiaTheme="minorHAnsi" w:hAnsi="TimesNewRomanPS-BoldItalicMT" w:cs="TimesNewRomanPS-BoldItalicMT"/>
          <w:b/>
          <w:bCs/>
          <w:i/>
          <w:iCs/>
          <w:lang w:eastAsia="en-US"/>
        </w:rPr>
        <w:t>писания акта приёмки работ по этапу / договору.</w:t>
      </w:r>
    </w:p>
    <w:p w:rsidR="000647F2" w:rsidRPr="00163F57" w:rsidRDefault="000676B2" w:rsidP="000647F2">
      <w:pPr>
        <w:widowControl/>
        <w:spacing w:before="0" w:after="0"/>
        <w:ind w:firstLine="567"/>
        <w:jc w:val="both"/>
        <w:rPr>
          <w:rFonts w:ascii="TimesNewRomanPS-BoldItalicMT" w:eastAsiaTheme="minorHAnsi" w:hAnsi="TimesNewRomanPS-BoldItalicMT" w:cs="TimesNewRomanPS-BoldItalicMT"/>
          <w:b/>
          <w:bCs/>
          <w:i/>
          <w:iCs/>
          <w:lang w:eastAsia="en-US"/>
        </w:rPr>
      </w:pPr>
      <w:r>
        <w:rPr>
          <w:rFonts w:ascii="TimesNewRomanPS-BoldItalicMT" w:eastAsiaTheme="minorHAnsi" w:hAnsi="TimesNewRomanPS-BoldItalicMT" w:cs="TimesNewRomanPS-BoldItalicMT"/>
          <w:b/>
          <w:bCs/>
          <w:i/>
          <w:iCs/>
          <w:lang w:eastAsia="en-US"/>
        </w:rPr>
        <w:t>В 2014 году данный показатель</w:t>
      </w:r>
      <w:r w:rsidR="000647F2" w:rsidRPr="00163F57">
        <w:rPr>
          <w:rFonts w:ascii="TimesNewRomanPS-BoldItalicMT" w:eastAsiaTheme="minorHAnsi" w:hAnsi="TimesNewRomanPS-BoldItalicMT" w:cs="TimesNewRomanPS-BoldItalicMT"/>
          <w:b/>
          <w:bCs/>
          <w:i/>
          <w:iCs/>
          <w:lang w:eastAsia="en-US"/>
        </w:rPr>
        <w:t xml:space="preserve"> Эмитента сократился в сравнении с 2013 годом по причине существенного роста краткосрочных обязательств Эмитента в 2014 году. Рост краткосрочных обязательств связан с увеличением денежных средств, полученных от покупателей недвижимости и отражающихся в составе краткосрочной кредиторской задолженности:</w:t>
      </w:r>
    </w:p>
    <w:p w:rsidR="000647F2" w:rsidRPr="007C2CCD" w:rsidRDefault="000647F2" w:rsidP="00441AEB">
      <w:pPr>
        <w:pStyle w:val="a9"/>
        <w:widowControl/>
        <w:numPr>
          <w:ilvl w:val="0"/>
          <w:numId w:val="5"/>
        </w:numPr>
        <w:spacing w:before="0" w:after="0"/>
        <w:ind w:left="0" w:firstLine="567"/>
        <w:jc w:val="both"/>
        <w:rPr>
          <w:rFonts w:ascii="TimesNewRomanPS-BoldItalicMT" w:eastAsiaTheme="minorHAnsi" w:hAnsi="TimesNewRomanPS-BoldItalicMT" w:cs="TimesNewRomanPS-BoldItalicMT"/>
          <w:b/>
          <w:bCs/>
          <w:i/>
          <w:iCs/>
          <w:lang w:eastAsia="en-US"/>
        </w:rPr>
      </w:pPr>
      <w:r w:rsidRPr="007C2CCD">
        <w:rPr>
          <w:rFonts w:ascii="TimesNewRomanPS-BoldItalicMT" w:eastAsiaTheme="minorHAnsi" w:hAnsi="TimesNewRomanPS-BoldItalicMT" w:cs="TimesNewRomanPS-BoldItalicMT"/>
          <w:b/>
          <w:bCs/>
          <w:i/>
          <w:iCs/>
          <w:lang w:eastAsia="en-US"/>
        </w:rPr>
        <w:t>по строке «Авансы полученные»: оплата помещений во введённых в эксплуатацию объектах);</w:t>
      </w:r>
    </w:p>
    <w:p w:rsidR="000647F2" w:rsidRPr="007C2CCD" w:rsidRDefault="000647F2" w:rsidP="00441AEB">
      <w:pPr>
        <w:pStyle w:val="a9"/>
        <w:widowControl/>
        <w:numPr>
          <w:ilvl w:val="0"/>
          <w:numId w:val="5"/>
        </w:numPr>
        <w:spacing w:before="0" w:after="0"/>
        <w:ind w:left="0" w:firstLine="567"/>
        <w:jc w:val="both"/>
        <w:rPr>
          <w:rFonts w:ascii="TimesNewRomanPS-BoldItalicMT" w:eastAsiaTheme="minorHAnsi" w:hAnsi="TimesNewRomanPS-BoldItalicMT" w:cs="TimesNewRomanPS-BoldItalicMT"/>
          <w:b/>
          <w:bCs/>
          <w:i/>
          <w:iCs/>
          <w:lang w:eastAsia="en-US"/>
        </w:rPr>
      </w:pPr>
      <w:r w:rsidRPr="007C2CCD">
        <w:rPr>
          <w:rFonts w:ascii="TimesNewRomanPS-BoldItalicMT" w:eastAsiaTheme="minorHAnsi" w:hAnsi="TimesNewRomanPS-BoldItalicMT" w:cs="TimesNewRomanPS-BoldItalicMT"/>
          <w:b/>
          <w:bCs/>
          <w:i/>
          <w:iCs/>
          <w:lang w:eastAsia="en-US"/>
        </w:rPr>
        <w:t>по строке «Целевое финансирование»: оплата по договорам долевого участия в строительстве).</w:t>
      </w:r>
    </w:p>
    <w:p w:rsidR="000647F2" w:rsidRPr="003A0073" w:rsidRDefault="000676B2" w:rsidP="00441AEB">
      <w:pPr>
        <w:widowControl/>
        <w:spacing w:before="0" w:after="0"/>
        <w:ind w:firstLine="567"/>
        <w:jc w:val="both"/>
        <w:rPr>
          <w:rFonts w:ascii="TimesNewRomanPS-BoldItalicMT" w:eastAsiaTheme="minorHAnsi" w:hAnsi="TimesNewRomanPS-BoldItalicMT" w:cs="TimesNewRomanPS-BoldItalicMT"/>
          <w:b/>
          <w:bCs/>
          <w:i/>
          <w:iCs/>
          <w:lang w:eastAsia="en-US"/>
        </w:rPr>
      </w:pPr>
      <w:r w:rsidRPr="003A0073">
        <w:rPr>
          <w:rFonts w:ascii="TimesNewRomanPS-BoldItalicMT" w:eastAsiaTheme="minorHAnsi" w:hAnsi="TimesNewRomanPS-BoldItalicMT" w:cs="TimesNewRomanPS-BoldItalicMT"/>
          <w:b/>
          <w:bCs/>
          <w:i/>
          <w:iCs/>
          <w:lang w:eastAsia="en-US"/>
        </w:rPr>
        <w:t>Резкое увеличение данного показателя в 2015 году обусловлено сокращением краткосрочных обязательств Эмитента при некотором росте оборотных активов и долгосрочной дебиторской задолженности.</w:t>
      </w:r>
    </w:p>
    <w:p w:rsidR="000676B2" w:rsidRDefault="000676B2" w:rsidP="000647F2">
      <w:pPr>
        <w:widowControl/>
        <w:spacing w:before="0" w:after="0"/>
        <w:rPr>
          <w:rFonts w:ascii="Times New Roman,BoldItalic" w:eastAsiaTheme="minorHAnsi" w:hAnsi="Times New Roman,BoldItalic" w:cs="Times New Roman,BoldItalic"/>
          <w:b/>
          <w:bCs/>
          <w:i/>
          <w:iCs/>
          <w:sz w:val="22"/>
          <w:szCs w:val="22"/>
          <w:u w:val="single"/>
          <w:lang w:eastAsia="en-US"/>
        </w:rPr>
      </w:pPr>
    </w:p>
    <w:p w:rsidR="000647F2" w:rsidRPr="007B74E2" w:rsidRDefault="000647F2" w:rsidP="0081789B">
      <w:pPr>
        <w:widowControl/>
        <w:spacing w:before="0" w:after="0"/>
        <w:ind w:firstLine="567"/>
        <w:jc w:val="both"/>
        <w:rPr>
          <w:rFonts w:ascii="TimesNewRomanPS-BoldItalicMT" w:eastAsiaTheme="minorHAnsi" w:hAnsi="TimesNewRomanPS-BoldItalicMT" w:cs="TimesNewRomanPS-BoldItalicMT"/>
          <w:b/>
          <w:bCs/>
          <w:i/>
          <w:iCs/>
          <w:lang w:eastAsia="en-US"/>
        </w:rPr>
      </w:pPr>
      <w:r w:rsidRPr="00441AEB">
        <w:rPr>
          <w:rFonts w:ascii="Times New Roman,BoldItalic" w:eastAsiaTheme="minorHAnsi" w:hAnsi="Times New Roman,BoldItalic" w:cs="Times New Roman,BoldItalic"/>
          <w:b/>
          <w:bCs/>
          <w:i/>
          <w:iCs/>
          <w:u w:val="single"/>
          <w:lang w:eastAsia="en-US"/>
        </w:rPr>
        <w:t>Показатель «Коэффициент текущей ликвидности»</w:t>
      </w:r>
      <w:r w:rsidRPr="00441AEB">
        <w:rPr>
          <w:rFonts w:ascii="Times New Roman,BoldItalic" w:eastAsiaTheme="minorHAnsi" w:hAnsi="Times New Roman,BoldItalic" w:cs="Times New Roman,BoldItalic"/>
          <w:b/>
          <w:bCs/>
          <w:i/>
          <w:iCs/>
          <w:lang w:eastAsia="en-US"/>
        </w:rPr>
        <w:t xml:space="preserve"> </w:t>
      </w:r>
      <w:r w:rsidRPr="00441AEB">
        <w:rPr>
          <w:rFonts w:ascii="TimesNewRomanPS-BoldItalicMT" w:eastAsiaTheme="minorHAnsi" w:hAnsi="TimesNewRomanPS-BoldItalicMT" w:cs="TimesNewRomanPS-BoldItalicMT"/>
          <w:b/>
          <w:bCs/>
          <w:i/>
          <w:iCs/>
          <w:lang w:eastAsia="en-US"/>
        </w:rPr>
        <w:t>характеризует степень</w:t>
      </w:r>
      <w:r w:rsidRPr="007B74E2">
        <w:rPr>
          <w:rFonts w:ascii="TimesNewRomanPS-BoldItalicMT" w:eastAsiaTheme="minorHAnsi" w:hAnsi="TimesNewRomanPS-BoldItalicMT" w:cs="TimesNewRomanPS-BoldItalicMT"/>
          <w:b/>
          <w:bCs/>
          <w:i/>
          <w:iCs/>
          <w:lang w:eastAsia="en-US"/>
        </w:rPr>
        <w:t xml:space="preserve"> покрытия оборотных активов оборотными пассивами, и применяется для оценки способности предприятия выполнять свои краткосрочных обязательства. Для коэффициента текущей ликвидности нормативным считается значение более 1,0. </w:t>
      </w:r>
    </w:p>
    <w:p w:rsidR="000647F2" w:rsidRDefault="00631CD1" w:rsidP="000647F2">
      <w:pPr>
        <w:widowControl/>
        <w:spacing w:before="0" w:after="0"/>
        <w:ind w:firstLine="567"/>
        <w:jc w:val="both"/>
        <w:rPr>
          <w:rFonts w:ascii="TimesNewRomanPS-BoldItalicMT" w:eastAsiaTheme="minorHAnsi" w:hAnsi="TimesNewRomanPS-BoldItalicMT" w:cs="TimesNewRomanPS-BoldItalicMT"/>
          <w:b/>
          <w:bCs/>
          <w:i/>
          <w:iCs/>
          <w:lang w:eastAsia="en-US"/>
        </w:rPr>
      </w:pPr>
      <w:r>
        <w:rPr>
          <w:rFonts w:ascii="TimesNewRomanPS-BoldItalicMT" w:eastAsiaTheme="minorHAnsi" w:hAnsi="TimesNewRomanPS-BoldItalicMT" w:cs="TimesNewRomanPS-BoldItalicMT"/>
          <w:b/>
          <w:bCs/>
          <w:i/>
          <w:iCs/>
          <w:lang w:eastAsia="en-US"/>
        </w:rPr>
        <w:t>На всем анализируемом отрезке времени в период с 2011 года по 2015 год данный показатель не снижался ниже рекомендованного значения и незначительно колебался в промежутке от минимального значения на уровне 1,05 в 2014 году и максимального на уровне 1,27 – в 2015 году. С</w:t>
      </w:r>
      <w:r w:rsidR="000647F2" w:rsidRPr="00226DA3">
        <w:rPr>
          <w:rFonts w:ascii="TimesNewRomanPS-BoldItalicMT" w:eastAsiaTheme="minorHAnsi" w:hAnsi="TimesNewRomanPS-BoldItalicMT" w:cs="TimesNewRomanPS-BoldItalicMT"/>
          <w:b/>
          <w:bCs/>
          <w:i/>
          <w:iCs/>
          <w:lang w:eastAsia="en-US"/>
        </w:rPr>
        <w:t>нижение коэффициента в 2013 году по сравнению с 2012 г</w:t>
      </w:r>
      <w:r>
        <w:rPr>
          <w:rFonts w:ascii="TimesNewRomanPS-BoldItalicMT" w:eastAsiaTheme="minorHAnsi" w:hAnsi="TimesNewRomanPS-BoldItalicMT" w:cs="TimesNewRomanPS-BoldItalicMT"/>
          <w:b/>
          <w:bCs/>
          <w:i/>
          <w:iCs/>
          <w:lang w:eastAsia="en-US"/>
        </w:rPr>
        <w:t>одом</w:t>
      </w:r>
      <w:r w:rsidR="000647F2" w:rsidRPr="00226DA3">
        <w:rPr>
          <w:rFonts w:ascii="TimesNewRomanPS-BoldItalicMT" w:eastAsiaTheme="minorHAnsi" w:hAnsi="TimesNewRomanPS-BoldItalicMT" w:cs="TimesNewRomanPS-BoldItalicMT"/>
          <w:b/>
          <w:bCs/>
          <w:i/>
          <w:iCs/>
          <w:lang w:eastAsia="en-US"/>
        </w:rPr>
        <w:t xml:space="preserve"> вызвано признанием выручки по объектам, введённым в эксплуатацию в 2012 году, что привело к снижению готовой продукции в составе запасов Эмитента.</w:t>
      </w:r>
    </w:p>
    <w:p w:rsidR="000647F2" w:rsidRPr="00B83397" w:rsidRDefault="000647F2" w:rsidP="000647F2">
      <w:pPr>
        <w:widowControl/>
        <w:spacing w:before="0" w:after="0"/>
        <w:ind w:firstLine="567"/>
        <w:jc w:val="both"/>
        <w:rPr>
          <w:rFonts w:ascii="TimesNewRomanPS-BoldItalicMT" w:eastAsiaTheme="minorHAnsi" w:hAnsi="TimesNewRomanPS-BoldItalicMT" w:cs="TimesNewRomanPS-BoldItalicMT"/>
          <w:b/>
          <w:bCs/>
          <w:i/>
          <w:iCs/>
          <w:lang w:eastAsia="en-US"/>
        </w:rPr>
      </w:pPr>
      <w:r>
        <w:rPr>
          <w:rFonts w:ascii="TimesNewRomanPS-BoldItalicMT" w:eastAsiaTheme="minorHAnsi" w:hAnsi="TimesNewRomanPS-BoldItalicMT" w:cs="TimesNewRomanPS-BoldItalicMT"/>
          <w:b/>
          <w:bCs/>
          <w:i/>
          <w:iCs/>
          <w:lang w:eastAsia="en-US"/>
        </w:rPr>
        <w:t>Данный показатель в 201</w:t>
      </w:r>
      <w:r w:rsidR="00631CD1">
        <w:rPr>
          <w:rFonts w:ascii="TimesNewRomanPS-BoldItalicMT" w:eastAsiaTheme="minorHAnsi" w:hAnsi="TimesNewRomanPS-BoldItalicMT" w:cs="TimesNewRomanPS-BoldItalicMT"/>
          <w:b/>
          <w:bCs/>
          <w:i/>
          <w:iCs/>
          <w:lang w:eastAsia="en-US"/>
        </w:rPr>
        <w:t>4</w:t>
      </w:r>
      <w:r>
        <w:rPr>
          <w:rFonts w:ascii="TimesNewRomanPS-BoldItalicMT" w:eastAsiaTheme="minorHAnsi" w:hAnsi="TimesNewRomanPS-BoldItalicMT" w:cs="TimesNewRomanPS-BoldItalicMT"/>
          <w:b/>
          <w:bCs/>
          <w:i/>
          <w:iCs/>
          <w:lang w:eastAsia="en-US"/>
        </w:rPr>
        <w:t xml:space="preserve"> году продолжил</w:t>
      </w:r>
      <w:r w:rsidR="00631CD1">
        <w:rPr>
          <w:rFonts w:ascii="TimesNewRomanPS-BoldItalicMT" w:eastAsiaTheme="minorHAnsi" w:hAnsi="TimesNewRomanPS-BoldItalicMT" w:cs="TimesNewRomanPS-BoldItalicMT"/>
          <w:b/>
          <w:bCs/>
          <w:i/>
          <w:iCs/>
          <w:lang w:eastAsia="en-US"/>
        </w:rPr>
        <w:t xml:space="preserve"> небольшую понижающую динамику из-за</w:t>
      </w:r>
      <w:r w:rsidRPr="00B83397">
        <w:rPr>
          <w:rFonts w:ascii="TimesNewRomanPS-BoldItalicMT" w:eastAsiaTheme="minorHAnsi" w:hAnsi="TimesNewRomanPS-BoldItalicMT" w:cs="TimesNewRomanPS-BoldItalicMT"/>
          <w:b/>
          <w:bCs/>
          <w:i/>
          <w:iCs/>
          <w:lang w:eastAsia="en-US"/>
        </w:rPr>
        <w:t xml:space="preserve"> существенн</w:t>
      </w:r>
      <w:r w:rsidR="00631CD1">
        <w:rPr>
          <w:rFonts w:ascii="TimesNewRomanPS-BoldItalicMT" w:eastAsiaTheme="minorHAnsi" w:hAnsi="TimesNewRomanPS-BoldItalicMT" w:cs="TimesNewRomanPS-BoldItalicMT"/>
          <w:b/>
          <w:bCs/>
          <w:i/>
          <w:iCs/>
          <w:lang w:eastAsia="en-US"/>
        </w:rPr>
        <w:t>ого</w:t>
      </w:r>
      <w:r w:rsidRPr="00B83397">
        <w:rPr>
          <w:rFonts w:ascii="TimesNewRomanPS-BoldItalicMT" w:eastAsiaTheme="minorHAnsi" w:hAnsi="TimesNewRomanPS-BoldItalicMT" w:cs="TimesNewRomanPS-BoldItalicMT"/>
          <w:b/>
          <w:bCs/>
          <w:i/>
          <w:iCs/>
          <w:lang w:eastAsia="en-US"/>
        </w:rPr>
        <w:t xml:space="preserve"> рост</w:t>
      </w:r>
      <w:r w:rsidR="00631CD1">
        <w:rPr>
          <w:rFonts w:ascii="TimesNewRomanPS-BoldItalicMT" w:eastAsiaTheme="minorHAnsi" w:hAnsi="TimesNewRomanPS-BoldItalicMT" w:cs="TimesNewRomanPS-BoldItalicMT"/>
          <w:b/>
          <w:bCs/>
          <w:i/>
          <w:iCs/>
          <w:lang w:eastAsia="en-US"/>
        </w:rPr>
        <w:t>а</w:t>
      </w:r>
      <w:r w:rsidRPr="00B83397">
        <w:rPr>
          <w:rFonts w:ascii="TimesNewRomanPS-BoldItalicMT" w:eastAsiaTheme="minorHAnsi" w:hAnsi="TimesNewRomanPS-BoldItalicMT" w:cs="TimesNewRomanPS-BoldItalicMT"/>
          <w:b/>
          <w:bCs/>
          <w:i/>
          <w:iCs/>
          <w:lang w:eastAsia="en-US"/>
        </w:rPr>
        <w:t xml:space="preserve"> краткосрочных обязательств Эмитента.</w:t>
      </w:r>
    </w:p>
    <w:p w:rsidR="000647F2" w:rsidRPr="0081789B" w:rsidRDefault="000647F2" w:rsidP="000647F2">
      <w:pPr>
        <w:widowControl/>
        <w:spacing w:before="0" w:after="0"/>
        <w:rPr>
          <w:rFonts w:ascii="Times New Roman,BoldItalic" w:eastAsiaTheme="minorHAnsi" w:hAnsi="Times New Roman,BoldItalic" w:cs="Times New Roman,BoldItalic"/>
          <w:b/>
          <w:bCs/>
          <w:i/>
          <w:iCs/>
          <w:lang w:eastAsia="en-US"/>
        </w:rPr>
      </w:pPr>
    </w:p>
    <w:p w:rsidR="000647F2" w:rsidRPr="002403C5" w:rsidRDefault="000647F2" w:rsidP="0081789B">
      <w:pPr>
        <w:widowControl/>
        <w:spacing w:before="0" w:after="0"/>
        <w:ind w:firstLine="567"/>
        <w:jc w:val="both"/>
        <w:rPr>
          <w:rFonts w:ascii="TimesNewRomanPS-BoldItalicMT" w:eastAsiaTheme="minorHAnsi" w:hAnsi="TimesNewRomanPS-BoldItalicMT" w:cs="TimesNewRomanPS-BoldItalicMT"/>
          <w:b/>
          <w:bCs/>
          <w:i/>
          <w:iCs/>
          <w:lang w:eastAsia="en-US"/>
        </w:rPr>
      </w:pPr>
      <w:r w:rsidRPr="0081789B">
        <w:rPr>
          <w:rFonts w:ascii="Times New Roman,BoldItalic" w:eastAsiaTheme="minorHAnsi" w:hAnsi="Times New Roman,BoldItalic" w:cs="Times New Roman,BoldItalic"/>
          <w:b/>
          <w:bCs/>
          <w:i/>
          <w:iCs/>
          <w:u w:val="single"/>
          <w:lang w:eastAsia="en-US"/>
        </w:rPr>
        <w:t>Коэффициент быстрой ликвидности</w:t>
      </w:r>
      <w:r w:rsidRPr="0081789B">
        <w:rPr>
          <w:rFonts w:ascii="Times New Roman,BoldItalic" w:eastAsiaTheme="minorHAnsi" w:hAnsi="Times New Roman,BoldItalic" w:cs="Times New Roman,BoldItalic"/>
          <w:b/>
          <w:bCs/>
          <w:i/>
          <w:iCs/>
          <w:lang w:eastAsia="en-US"/>
        </w:rPr>
        <w:t xml:space="preserve"> </w:t>
      </w:r>
      <w:r w:rsidRPr="0081789B">
        <w:rPr>
          <w:rFonts w:ascii="TimesNewRomanPS-BoldItalicMT" w:eastAsiaTheme="minorHAnsi" w:hAnsi="TimesNewRomanPS-BoldItalicMT" w:cs="TimesNewRomanPS-BoldItalicMT"/>
          <w:b/>
          <w:bCs/>
          <w:i/>
          <w:iCs/>
          <w:lang w:eastAsia="en-US"/>
        </w:rPr>
        <w:t>помогает оценить, какую долю текущих краткосрочных обязательств может погасить предприятие при требовании от него исполнения обязательств в короткие сроки. При этом исходят из предположения, что товарно-материальные запасы вообще</w:t>
      </w:r>
      <w:r w:rsidRPr="002403C5">
        <w:rPr>
          <w:rFonts w:ascii="TimesNewRomanPS-BoldItalicMT" w:eastAsiaTheme="minorHAnsi" w:hAnsi="TimesNewRomanPS-BoldItalicMT" w:cs="TimesNewRomanPS-BoldItalicMT"/>
          <w:b/>
          <w:bCs/>
          <w:i/>
          <w:iCs/>
          <w:lang w:eastAsia="en-US"/>
        </w:rPr>
        <w:t xml:space="preserve"> не имеют никакой ликвидационной стоимости. Значение показателя свидетельствует о достаточной устойчивости, поскольку </w:t>
      </w:r>
      <w:r>
        <w:rPr>
          <w:rFonts w:ascii="TimesNewRomanPS-BoldItalicMT" w:eastAsiaTheme="minorHAnsi" w:hAnsi="TimesNewRomanPS-BoldItalicMT" w:cs="TimesNewRomanPS-BoldItalicMT"/>
          <w:b/>
          <w:bCs/>
          <w:i/>
          <w:iCs/>
          <w:lang w:eastAsia="en-US"/>
        </w:rPr>
        <w:t>Э</w:t>
      </w:r>
      <w:r w:rsidRPr="002403C5">
        <w:rPr>
          <w:rFonts w:ascii="TimesNewRomanPS-BoldItalicMT" w:eastAsiaTheme="minorHAnsi" w:hAnsi="TimesNewRomanPS-BoldItalicMT" w:cs="TimesNewRomanPS-BoldItalicMT"/>
          <w:b/>
          <w:bCs/>
          <w:i/>
          <w:iCs/>
          <w:lang w:eastAsia="en-US"/>
        </w:rPr>
        <w:t>митент имеет возможность рассчитаться с более чем половиной объема соответствующих краткосрочных обязательств</w:t>
      </w:r>
      <w:r>
        <w:rPr>
          <w:rFonts w:ascii="TimesNewRomanPS-BoldItalicMT" w:eastAsiaTheme="minorHAnsi" w:hAnsi="TimesNewRomanPS-BoldItalicMT" w:cs="TimesNewRomanPS-BoldItalicMT"/>
          <w:b/>
          <w:bCs/>
          <w:i/>
          <w:iCs/>
          <w:lang w:eastAsia="en-US"/>
        </w:rPr>
        <w:t>.</w:t>
      </w:r>
    </w:p>
    <w:p w:rsidR="000647F2" w:rsidRPr="002403C5" w:rsidRDefault="000647F2" w:rsidP="000647F2">
      <w:pPr>
        <w:widowControl/>
        <w:spacing w:before="0" w:after="0"/>
        <w:ind w:firstLine="567"/>
        <w:jc w:val="both"/>
        <w:rPr>
          <w:rFonts w:ascii="TimesNewRomanPS-BoldItalicMT" w:eastAsiaTheme="minorHAnsi" w:hAnsi="TimesNewRomanPS-BoldItalicMT" w:cs="TimesNewRomanPS-BoldItalicMT"/>
          <w:b/>
          <w:bCs/>
          <w:i/>
          <w:iCs/>
          <w:lang w:eastAsia="en-US"/>
        </w:rPr>
      </w:pPr>
      <w:r w:rsidRPr="002403C5">
        <w:rPr>
          <w:rFonts w:ascii="TimesNewRomanPS-BoldItalicMT" w:eastAsiaTheme="minorHAnsi" w:hAnsi="TimesNewRomanPS-BoldItalicMT" w:cs="TimesNewRomanPS-BoldItalicMT"/>
          <w:b/>
          <w:bCs/>
          <w:i/>
          <w:iCs/>
          <w:lang w:eastAsia="en-US"/>
        </w:rPr>
        <w:t>Показатель</w:t>
      </w:r>
      <w:r w:rsidR="00D06977">
        <w:rPr>
          <w:rFonts w:ascii="TimesNewRomanPS-BoldItalicMT" w:eastAsiaTheme="minorHAnsi" w:hAnsi="TimesNewRomanPS-BoldItalicMT" w:cs="TimesNewRomanPS-BoldItalicMT"/>
          <w:b/>
          <w:bCs/>
          <w:i/>
          <w:iCs/>
          <w:lang w:eastAsia="en-US"/>
        </w:rPr>
        <w:t xml:space="preserve"> </w:t>
      </w:r>
      <w:r w:rsidRPr="002403C5">
        <w:rPr>
          <w:rFonts w:ascii="TimesNewRomanPS-BoldItalicMT" w:eastAsiaTheme="minorHAnsi" w:hAnsi="TimesNewRomanPS-BoldItalicMT" w:cs="TimesNewRomanPS-BoldItalicMT"/>
          <w:b/>
          <w:bCs/>
          <w:i/>
          <w:iCs/>
          <w:lang w:eastAsia="en-US"/>
        </w:rPr>
        <w:t xml:space="preserve">носит характер, типичный для капиталоемких отраслей, к которым относится отрасль Эмитента </w:t>
      </w:r>
      <w:r w:rsidRPr="002403C5">
        <w:rPr>
          <w:rFonts w:eastAsiaTheme="minorHAnsi"/>
          <w:b/>
          <w:bCs/>
          <w:i/>
          <w:iCs/>
          <w:lang w:eastAsia="en-US"/>
        </w:rPr>
        <w:t xml:space="preserve">– </w:t>
      </w:r>
      <w:r w:rsidRPr="002403C5">
        <w:rPr>
          <w:rFonts w:ascii="TimesNewRomanPS-BoldItalicMT" w:eastAsiaTheme="minorHAnsi" w:hAnsi="TimesNewRomanPS-BoldItalicMT" w:cs="TimesNewRomanPS-BoldItalicMT"/>
          <w:b/>
          <w:bCs/>
          <w:i/>
          <w:iCs/>
          <w:lang w:eastAsia="en-US"/>
        </w:rPr>
        <w:t>строительство, где доля внеоборотных активов (в т.ч. незавершенного строительства) и запасов всегда велика.</w:t>
      </w:r>
    </w:p>
    <w:p w:rsidR="000647F2" w:rsidRPr="00D4714B" w:rsidRDefault="000647F2" w:rsidP="00D06977">
      <w:pPr>
        <w:widowControl/>
        <w:spacing w:before="0" w:after="0"/>
        <w:ind w:firstLine="567"/>
        <w:jc w:val="both"/>
        <w:rPr>
          <w:rFonts w:ascii="TimesNewRomanPS-BoldItalicMT" w:eastAsiaTheme="minorHAnsi" w:hAnsi="TimesNewRomanPS-BoldItalicMT" w:cs="TimesNewRomanPS-BoldItalicMT"/>
          <w:b/>
          <w:bCs/>
          <w:i/>
          <w:iCs/>
          <w:lang w:eastAsia="en-US"/>
        </w:rPr>
      </w:pPr>
      <w:r w:rsidRPr="002D747A">
        <w:rPr>
          <w:rFonts w:ascii="TimesNewRomanPS-BoldItalicMT" w:eastAsiaTheme="minorHAnsi" w:hAnsi="TimesNewRomanPS-BoldItalicMT" w:cs="TimesNewRomanPS-BoldItalicMT"/>
          <w:b/>
          <w:bCs/>
          <w:i/>
          <w:iCs/>
          <w:lang w:eastAsia="en-US"/>
        </w:rPr>
        <w:t xml:space="preserve">В 2012 году произошел рост </w:t>
      </w:r>
      <w:r w:rsidR="00D06977">
        <w:rPr>
          <w:rFonts w:ascii="TimesNewRomanPS-BoldItalicMT" w:eastAsiaTheme="minorHAnsi" w:hAnsi="TimesNewRomanPS-BoldItalicMT" w:cs="TimesNewRomanPS-BoldItalicMT"/>
          <w:b/>
          <w:bCs/>
          <w:i/>
          <w:iCs/>
          <w:lang w:eastAsia="en-US"/>
        </w:rPr>
        <w:t>данного к</w:t>
      </w:r>
      <w:r w:rsidRPr="002D747A">
        <w:rPr>
          <w:rFonts w:ascii="TimesNewRomanPS-BoldItalicMT" w:eastAsiaTheme="minorHAnsi" w:hAnsi="TimesNewRomanPS-BoldItalicMT" w:cs="TimesNewRomanPS-BoldItalicMT"/>
          <w:b/>
          <w:bCs/>
          <w:i/>
          <w:iCs/>
          <w:lang w:eastAsia="en-US"/>
        </w:rPr>
        <w:t>оэффициента по сравнению с предыдущим годом, как эффект от значительного роста денежных средств Эмитента в 2012 году, источником которого стало привлечение долгосрочного заёмного финансирования в 2012 году и рост собственного капитала.</w:t>
      </w:r>
      <w:r>
        <w:rPr>
          <w:rFonts w:ascii="TimesNewRomanPS-BoldItalicMT" w:eastAsiaTheme="minorHAnsi" w:hAnsi="TimesNewRomanPS-BoldItalicMT" w:cs="TimesNewRomanPS-BoldItalicMT"/>
          <w:b/>
          <w:bCs/>
          <w:i/>
          <w:iCs/>
          <w:lang w:eastAsia="en-US"/>
        </w:rPr>
        <w:t xml:space="preserve"> В</w:t>
      </w:r>
      <w:r w:rsidRPr="00D4714B">
        <w:rPr>
          <w:rFonts w:ascii="TimesNewRomanPS-BoldItalicMT" w:eastAsiaTheme="minorHAnsi" w:hAnsi="TimesNewRomanPS-BoldItalicMT" w:cs="TimesNewRomanPS-BoldItalicMT"/>
          <w:b/>
          <w:bCs/>
          <w:i/>
          <w:iCs/>
          <w:lang w:eastAsia="en-US"/>
        </w:rPr>
        <w:t xml:space="preserve"> 2014 году в сравнении с 2013 годом д</w:t>
      </w:r>
      <w:r w:rsidR="00D06977">
        <w:rPr>
          <w:rFonts w:ascii="TimesNewRomanPS-BoldItalicMT" w:eastAsiaTheme="minorHAnsi" w:hAnsi="TimesNewRomanPS-BoldItalicMT" w:cs="TimesNewRomanPS-BoldItalicMT"/>
          <w:b/>
          <w:bCs/>
          <w:i/>
          <w:iCs/>
          <w:lang w:eastAsia="en-US"/>
        </w:rPr>
        <w:t>анный показатель снизился из-за р</w:t>
      </w:r>
      <w:r w:rsidRPr="00D4714B">
        <w:rPr>
          <w:rFonts w:ascii="TimesNewRomanPS-BoldItalicMT" w:eastAsiaTheme="minorHAnsi" w:hAnsi="TimesNewRomanPS-BoldItalicMT" w:cs="TimesNewRomanPS-BoldItalicMT"/>
          <w:b/>
          <w:bCs/>
          <w:i/>
          <w:iCs/>
          <w:lang w:eastAsia="en-US"/>
        </w:rPr>
        <w:t>оста краткосрочных обязательств Эмитента в 2014 году</w:t>
      </w:r>
      <w:r w:rsidR="00D06977">
        <w:rPr>
          <w:rFonts w:ascii="TimesNewRomanPS-BoldItalicMT" w:eastAsiaTheme="minorHAnsi" w:hAnsi="TimesNewRomanPS-BoldItalicMT" w:cs="TimesNewRomanPS-BoldItalicMT"/>
          <w:b/>
          <w:bCs/>
          <w:i/>
          <w:iCs/>
          <w:lang w:eastAsia="en-US"/>
        </w:rPr>
        <w:t xml:space="preserve"> и р</w:t>
      </w:r>
      <w:r w:rsidRPr="00D4714B">
        <w:rPr>
          <w:rFonts w:ascii="TimesNewRomanPS-BoldItalicMT" w:eastAsiaTheme="minorHAnsi" w:hAnsi="TimesNewRomanPS-BoldItalicMT" w:cs="TimesNewRomanPS-BoldItalicMT"/>
          <w:b/>
          <w:bCs/>
          <w:i/>
          <w:iCs/>
          <w:lang w:eastAsia="en-US"/>
        </w:rPr>
        <w:t>оста готовой продукции в составе запасов Эмитента. Увеличение готовой продукции – результат ввода объектов в эксплуатацию в 2014 года.</w:t>
      </w:r>
    </w:p>
    <w:p w:rsidR="00D06977" w:rsidRPr="00D06977" w:rsidRDefault="00D06977" w:rsidP="00D06977">
      <w:pPr>
        <w:widowControl/>
        <w:spacing w:before="0" w:after="0"/>
        <w:ind w:firstLine="567"/>
        <w:jc w:val="both"/>
        <w:rPr>
          <w:rFonts w:ascii="TimesNewRomanPS-BoldItalicMT" w:eastAsiaTheme="minorHAnsi" w:hAnsi="TimesNewRomanPS-BoldItalicMT" w:cs="TimesNewRomanPS-BoldItalicMT"/>
          <w:b/>
          <w:bCs/>
          <w:i/>
          <w:iCs/>
          <w:lang w:eastAsia="en-US"/>
        </w:rPr>
      </w:pPr>
      <w:r w:rsidRPr="00D06977">
        <w:rPr>
          <w:rFonts w:ascii="TimesNewRomanPS-BoldItalicMT" w:eastAsiaTheme="minorHAnsi" w:hAnsi="TimesNewRomanPS-BoldItalicMT" w:cs="TimesNewRomanPS-BoldItalicMT"/>
          <w:b/>
          <w:bCs/>
          <w:i/>
          <w:iCs/>
          <w:lang w:eastAsia="en-US"/>
        </w:rPr>
        <w:t xml:space="preserve">За 2015 год данный показатель  вырос по сравнению с результатом за 2014 год и достиг максимального значения на анализируемом отрезке времени в период с 2011 года по 2015 год. Рост данного показателя связан с сокращением краткосрочных обязательств Эмитента. Сохранение значения показателя на уровне, близком к 1, свидетельствует о достаточности высоколиквидных активов для покрытия большей части обязательств Эмитента. </w:t>
      </w:r>
    </w:p>
    <w:p w:rsidR="000647F2" w:rsidRDefault="000647F2" w:rsidP="000647F2">
      <w:pPr>
        <w:widowControl/>
        <w:spacing w:before="0" w:after="0"/>
        <w:rPr>
          <w:rFonts w:ascii="Times New Roman,BoldItalic" w:eastAsiaTheme="minorHAnsi" w:hAnsi="Times New Roman,BoldItalic" w:cs="Times New Roman,BoldItalic"/>
          <w:b/>
          <w:bCs/>
          <w:i/>
          <w:iCs/>
          <w:sz w:val="22"/>
          <w:szCs w:val="22"/>
          <w:lang w:eastAsia="en-US"/>
        </w:rPr>
      </w:pPr>
    </w:p>
    <w:p w:rsidR="000647F2" w:rsidRPr="00604120" w:rsidRDefault="000647F2" w:rsidP="0081789B">
      <w:pPr>
        <w:widowControl/>
        <w:spacing w:before="0" w:after="0"/>
        <w:ind w:firstLine="567"/>
        <w:jc w:val="both"/>
        <w:rPr>
          <w:rFonts w:eastAsia="Calibri"/>
        </w:rPr>
      </w:pPr>
      <w:r w:rsidRPr="00604120">
        <w:rPr>
          <w:rFonts w:eastAsia="Calibri"/>
        </w:rPr>
        <w:t>Факторы, которые, по мнению органов управления эмитента, оказали наиболее существенное влияние на ликвидность и платежеспособность эмитента в отчетном периоде:</w:t>
      </w:r>
    </w:p>
    <w:p w:rsidR="00D06977" w:rsidRPr="00D06977" w:rsidRDefault="00D06977" w:rsidP="0081789B">
      <w:pPr>
        <w:widowControl/>
        <w:spacing w:before="0" w:after="0"/>
        <w:ind w:firstLine="567"/>
        <w:jc w:val="both"/>
        <w:rPr>
          <w:rFonts w:ascii="TimesNewRomanPS-BoldItalicMT" w:eastAsiaTheme="minorHAnsi" w:hAnsi="TimesNewRomanPS-BoldItalicMT" w:cs="TimesNewRomanPS-BoldItalicMT"/>
          <w:b/>
          <w:bCs/>
          <w:i/>
          <w:iCs/>
          <w:lang w:eastAsia="en-US"/>
        </w:rPr>
      </w:pPr>
      <w:r w:rsidRPr="00D06977">
        <w:rPr>
          <w:rFonts w:ascii="TimesNewRomanPS-BoldItalicMT" w:eastAsiaTheme="minorHAnsi" w:hAnsi="TimesNewRomanPS-BoldItalicMT" w:cs="TimesNewRomanPS-BoldItalicMT"/>
          <w:b/>
          <w:bCs/>
          <w:i/>
          <w:iCs/>
          <w:lang w:eastAsia="en-US"/>
        </w:rPr>
        <w:t xml:space="preserve">Строительная отрасль является одной из самых капиталоемких, осуществление основной хозяйственной деятельности Эмитента предполагает наличие большого объема внеоборотных активов, большую долю заемных средств в структуре баланса Эмитента, что влияет на уровень показателей ликвидности и платежеспособности. </w:t>
      </w:r>
    </w:p>
    <w:p w:rsidR="000647F2" w:rsidRPr="00604120" w:rsidRDefault="000647F2" w:rsidP="0081789B">
      <w:pPr>
        <w:ind w:firstLine="567"/>
        <w:rPr>
          <w:rFonts w:eastAsia="Calibri"/>
        </w:rPr>
      </w:pPr>
    </w:p>
    <w:p w:rsidR="000647F2" w:rsidRPr="00E033CD" w:rsidRDefault="000647F2" w:rsidP="0081789B">
      <w:pPr>
        <w:ind w:firstLine="567"/>
        <w:jc w:val="both"/>
        <w:rPr>
          <w:rFonts w:ascii="Arial" w:eastAsia="Calibri" w:hAnsi="Arial" w:cs="Arial"/>
          <w:i/>
        </w:rPr>
      </w:pPr>
      <w:r w:rsidRPr="00604120">
        <w:rPr>
          <w:rFonts w:eastAsia="Calibri"/>
        </w:rPr>
        <w:t xml:space="preserve">В случае если мнения указанных органов управления эмитента относительно упомянутых факторов и (или) степени их влияния на показатели финансово-хозяйственной деятельности эмитента не совпадают, указывается мнение каждого из таких органов управления эмитента и аргументация, объясняющая их позицию: </w:t>
      </w:r>
      <w:r w:rsidRPr="00E033CD">
        <w:rPr>
          <w:rFonts w:ascii="Arial" w:eastAsia="Calibri" w:hAnsi="Arial" w:cs="Arial"/>
          <w:b/>
          <w:i/>
        </w:rPr>
        <w:t>м</w:t>
      </w:r>
      <w:r w:rsidRPr="00E033CD">
        <w:rPr>
          <w:rFonts w:ascii="Arial" w:hAnsi="Arial" w:cs="Arial"/>
          <w:b/>
          <w:i/>
        </w:rPr>
        <w:t>нени</w:t>
      </w:r>
      <w:r>
        <w:rPr>
          <w:rFonts w:ascii="Arial" w:hAnsi="Arial" w:cs="Arial"/>
          <w:b/>
          <w:i/>
        </w:rPr>
        <w:t>я</w:t>
      </w:r>
      <w:r w:rsidRPr="00E033CD">
        <w:rPr>
          <w:rFonts w:ascii="Arial" w:hAnsi="Arial" w:cs="Arial"/>
          <w:b/>
          <w:i/>
        </w:rPr>
        <w:t xml:space="preserve"> органов управления Эмитента</w:t>
      </w:r>
      <w:r>
        <w:rPr>
          <w:rFonts w:ascii="Arial" w:hAnsi="Arial" w:cs="Arial"/>
          <w:b/>
          <w:i/>
        </w:rPr>
        <w:t xml:space="preserve"> совпадаю</w:t>
      </w:r>
      <w:r w:rsidRPr="00E033CD">
        <w:rPr>
          <w:rFonts w:ascii="Arial" w:hAnsi="Arial" w:cs="Arial"/>
          <w:b/>
          <w:i/>
        </w:rPr>
        <w:t xml:space="preserve">т с указанной информацией. </w:t>
      </w:r>
    </w:p>
    <w:p w:rsidR="000647F2" w:rsidRPr="00604120" w:rsidRDefault="000647F2" w:rsidP="0081789B">
      <w:pPr>
        <w:ind w:firstLine="567"/>
        <w:jc w:val="both"/>
        <w:rPr>
          <w:rFonts w:eastAsia="Calibri"/>
        </w:rPr>
      </w:pPr>
    </w:p>
    <w:p w:rsidR="000647F2" w:rsidRDefault="000647F2" w:rsidP="0081789B">
      <w:pPr>
        <w:ind w:firstLine="567"/>
        <w:jc w:val="both"/>
        <w:rPr>
          <w:rFonts w:ascii="Arial" w:hAnsi="Arial" w:cs="Arial"/>
          <w:b/>
          <w:i/>
        </w:rPr>
      </w:pPr>
      <w:r w:rsidRPr="00604120">
        <w:rPr>
          <w:rFonts w:eastAsia="Calibri"/>
        </w:rPr>
        <w:t xml:space="preserve">В случае если член совета директоров (наблюдательного совета) эмитента или член коллегиального исполнительного органа эмитента имеет особое мнение относительно упомянутых факторов и (или) степени их влияния на показатели финансово-хозяйственной деятельности эмитента, отраженное в протоколе собрания (заседания) совета директоров (наблюдательного совета) эмитента или коллегиального исполнительного органа, на котором рассматривались соответствующие вопросы, и настаивает на отражении такого мнения в проспекте ценных бумаг, указывается такое особое мнение и аргументация члена органа управления эмитента, объясняющая его позицию: </w:t>
      </w:r>
      <w:r w:rsidRPr="004C19A8">
        <w:rPr>
          <w:rFonts w:ascii="Arial" w:hAnsi="Arial" w:cs="Arial"/>
          <w:b/>
          <w:i/>
        </w:rPr>
        <w:t>не имеет.</w:t>
      </w:r>
    </w:p>
    <w:p w:rsidR="000647F2" w:rsidRPr="00926BED" w:rsidRDefault="000647F2" w:rsidP="000647F2">
      <w:pPr>
        <w:jc w:val="both"/>
        <w:rPr>
          <w:b/>
          <w:i/>
        </w:rPr>
      </w:pPr>
    </w:p>
    <w:p w:rsidR="000647F2" w:rsidRPr="007D3222" w:rsidRDefault="000647F2" w:rsidP="000647F2">
      <w:pPr>
        <w:pStyle w:val="ConsPlusNormal"/>
        <w:ind w:firstLine="540"/>
        <w:jc w:val="both"/>
        <w:outlineLvl w:val="1"/>
        <w:rPr>
          <w:b/>
          <w:i/>
          <w:sz w:val="28"/>
          <w:szCs w:val="28"/>
        </w:rPr>
      </w:pPr>
      <w:bookmarkStart w:id="64" w:name="_Toc448251161"/>
      <w:r w:rsidRPr="007D3222">
        <w:rPr>
          <w:b/>
          <w:i/>
          <w:sz w:val="28"/>
          <w:szCs w:val="28"/>
        </w:rPr>
        <w:t>4.3. Размер и структура капитала и оборотных средств эмитента</w:t>
      </w:r>
      <w:bookmarkEnd w:id="64"/>
    </w:p>
    <w:p w:rsidR="000647F2" w:rsidRPr="00926BED" w:rsidRDefault="000647F2" w:rsidP="000647F2">
      <w:pPr>
        <w:pStyle w:val="ConsPlusNormal"/>
        <w:jc w:val="both"/>
        <w:rPr>
          <w:b/>
          <w:i/>
        </w:rPr>
      </w:pPr>
    </w:p>
    <w:p w:rsidR="000647F2" w:rsidRPr="007D3222" w:rsidRDefault="000647F2" w:rsidP="000647F2">
      <w:pPr>
        <w:pStyle w:val="ConsPlusNormal"/>
        <w:ind w:firstLine="540"/>
        <w:jc w:val="both"/>
        <w:outlineLvl w:val="2"/>
        <w:rPr>
          <w:b/>
          <w:i/>
          <w:sz w:val="26"/>
          <w:szCs w:val="26"/>
        </w:rPr>
      </w:pPr>
      <w:bookmarkStart w:id="65" w:name="_Toc448251162"/>
      <w:r w:rsidRPr="007D3222">
        <w:rPr>
          <w:b/>
          <w:sz w:val="26"/>
          <w:szCs w:val="26"/>
        </w:rPr>
        <w:t>4.3.1. Размер и структура капитала и оборотных средств эмитента</w:t>
      </w:r>
      <w:bookmarkEnd w:id="65"/>
    </w:p>
    <w:p w:rsidR="000647F2" w:rsidRPr="009800B0" w:rsidRDefault="000647F2" w:rsidP="000647F2">
      <w:pPr>
        <w:pStyle w:val="ConsPlusNormal"/>
        <w:ind w:firstLine="540"/>
        <w:jc w:val="both"/>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0647F2" w:rsidRPr="00926BED" w:rsidRDefault="000647F2" w:rsidP="000647F2">
      <w:pPr>
        <w:pStyle w:val="ConsPlusNormal"/>
        <w:jc w:val="both"/>
        <w:rPr>
          <w:b/>
          <w:i/>
        </w:rPr>
      </w:pPr>
    </w:p>
    <w:p w:rsidR="000647F2" w:rsidRPr="007D3222" w:rsidRDefault="000647F2" w:rsidP="000647F2">
      <w:pPr>
        <w:pStyle w:val="ConsPlusNormal"/>
        <w:ind w:firstLine="540"/>
        <w:jc w:val="both"/>
        <w:outlineLvl w:val="2"/>
        <w:rPr>
          <w:b/>
          <w:sz w:val="26"/>
          <w:szCs w:val="26"/>
        </w:rPr>
      </w:pPr>
      <w:bookmarkStart w:id="66" w:name="_Toc448251163"/>
      <w:r w:rsidRPr="007D3222">
        <w:rPr>
          <w:b/>
          <w:sz w:val="26"/>
          <w:szCs w:val="26"/>
        </w:rPr>
        <w:t>4.3.2. Финансовые вложения эмитента</w:t>
      </w:r>
      <w:bookmarkEnd w:id="66"/>
    </w:p>
    <w:p w:rsidR="000647F2" w:rsidRPr="009800B0" w:rsidRDefault="000647F2" w:rsidP="000647F2">
      <w:pPr>
        <w:pStyle w:val="ConsPlusNormal"/>
        <w:ind w:firstLine="540"/>
        <w:jc w:val="both"/>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0647F2" w:rsidRPr="00926BED" w:rsidRDefault="000647F2" w:rsidP="000647F2">
      <w:pPr>
        <w:pStyle w:val="ConsPlusNormal"/>
        <w:jc w:val="both"/>
        <w:rPr>
          <w:b/>
          <w:i/>
        </w:rPr>
      </w:pPr>
    </w:p>
    <w:p w:rsidR="000647F2" w:rsidRPr="007D3222" w:rsidRDefault="000647F2" w:rsidP="000647F2">
      <w:pPr>
        <w:pStyle w:val="ConsPlusNormal"/>
        <w:ind w:firstLine="540"/>
        <w:jc w:val="both"/>
        <w:outlineLvl w:val="2"/>
        <w:rPr>
          <w:b/>
          <w:sz w:val="26"/>
          <w:szCs w:val="26"/>
        </w:rPr>
      </w:pPr>
      <w:bookmarkStart w:id="67" w:name="_Toc448251164"/>
      <w:r w:rsidRPr="007D3222">
        <w:rPr>
          <w:b/>
          <w:sz w:val="26"/>
          <w:szCs w:val="26"/>
        </w:rPr>
        <w:t>4.3.3. Нематериальные активы эмитента</w:t>
      </w:r>
      <w:bookmarkEnd w:id="67"/>
    </w:p>
    <w:p w:rsidR="000647F2" w:rsidRPr="009800B0" w:rsidRDefault="000647F2" w:rsidP="000647F2">
      <w:pPr>
        <w:pStyle w:val="ConsPlusNormal"/>
        <w:ind w:firstLine="540"/>
        <w:jc w:val="both"/>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0647F2" w:rsidRPr="00926BED" w:rsidRDefault="000647F2" w:rsidP="000647F2">
      <w:pPr>
        <w:pStyle w:val="ConsPlusNormal"/>
        <w:jc w:val="both"/>
        <w:rPr>
          <w:b/>
          <w:i/>
        </w:rPr>
      </w:pPr>
    </w:p>
    <w:p w:rsidR="000647F2" w:rsidRPr="007D3222" w:rsidRDefault="000647F2" w:rsidP="000647F2">
      <w:pPr>
        <w:pStyle w:val="ConsPlusNormal"/>
        <w:ind w:firstLine="540"/>
        <w:jc w:val="both"/>
        <w:outlineLvl w:val="1"/>
        <w:rPr>
          <w:b/>
          <w:i/>
          <w:sz w:val="28"/>
          <w:szCs w:val="28"/>
        </w:rPr>
      </w:pPr>
      <w:bookmarkStart w:id="68" w:name="_Toc448251165"/>
      <w:r w:rsidRPr="007D3222">
        <w:rPr>
          <w:b/>
          <w:i/>
          <w:sz w:val="28"/>
          <w:szCs w:val="28"/>
        </w:rPr>
        <w:t>4.4. Сведения о политике и расходах эмитента в области научно-технического развития, в отношении лицензий и патентов, новых разработок и исследований</w:t>
      </w:r>
      <w:bookmarkEnd w:id="68"/>
    </w:p>
    <w:p w:rsidR="000647F2" w:rsidRPr="009800B0" w:rsidRDefault="000647F2" w:rsidP="000647F2">
      <w:pPr>
        <w:pStyle w:val="ConsPlusNormal"/>
        <w:ind w:firstLine="540"/>
        <w:jc w:val="both"/>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0647F2" w:rsidRPr="00926BED" w:rsidRDefault="000647F2" w:rsidP="000647F2">
      <w:pPr>
        <w:pStyle w:val="ConsPlusNormal"/>
        <w:jc w:val="both"/>
        <w:rPr>
          <w:b/>
          <w:i/>
        </w:rPr>
      </w:pPr>
    </w:p>
    <w:p w:rsidR="000647F2" w:rsidRPr="007D3222" w:rsidRDefault="000647F2" w:rsidP="000647F2">
      <w:pPr>
        <w:pStyle w:val="ConsPlusNormal"/>
        <w:ind w:firstLine="540"/>
        <w:jc w:val="both"/>
        <w:outlineLvl w:val="1"/>
        <w:rPr>
          <w:b/>
          <w:i/>
          <w:sz w:val="28"/>
          <w:szCs w:val="28"/>
        </w:rPr>
      </w:pPr>
      <w:bookmarkStart w:id="69" w:name="_Toc448251166"/>
      <w:r w:rsidRPr="007D3222">
        <w:rPr>
          <w:b/>
          <w:i/>
          <w:sz w:val="28"/>
          <w:szCs w:val="28"/>
        </w:rPr>
        <w:t>4.5. Анализ тенденций развития в сфере основной деятельности эмитента</w:t>
      </w:r>
      <w:bookmarkEnd w:id="69"/>
    </w:p>
    <w:p w:rsidR="000647F2" w:rsidRPr="009800B0" w:rsidRDefault="000647F2" w:rsidP="000647F2">
      <w:pPr>
        <w:pStyle w:val="ConsPlusNormal"/>
        <w:ind w:firstLine="540"/>
        <w:jc w:val="both"/>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0647F2" w:rsidRPr="00926BED" w:rsidRDefault="000647F2" w:rsidP="000647F2">
      <w:pPr>
        <w:pStyle w:val="ConsPlusNormal"/>
        <w:jc w:val="both"/>
        <w:rPr>
          <w:b/>
          <w:i/>
        </w:rPr>
      </w:pPr>
    </w:p>
    <w:p w:rsidR="000647F2" w:rsidRPr="007D3222" w:rsidRDefault="000647F2" w:rsidP="000647F2">
      <w:pPr>
        <w:pStyle w:val="ConsPlusNormal"/>
        <w:ind w:firstLine="540"/>
        <w:jc w:val="both"/>
        <w:outlineLvl w:val="1"/>
        <w:rPr>
          <w:b/>
          <w:i/>
          <w:sz w:val="28"/>
          <w:szCs w:val="28"/>
        </w:rPr>
      </w:pPr>
      <w:bookmarkStart w:id="70" w:name="_Toc448251167"/>
      <w:r w:rsidRPr="007D3222">
        <w:rPr>
          <w:b/>
          <w:i/>
          <w:sz w:val="28"/>
          <w:szCs w:val="28"/>
        </w:rPr>
        <w:t>4.6. Анализ факторов и условий, влияющих на деятельность эмитента</w:t>
      </w:r>
      <w:bookmarkEnd w:id="70"/>
    </w:p>
    <w:p w:rsidR="000647F2" w:rsidRPr="009800B0" w:rsidRDefault="000647F2" w:rsidP="000647F2">
      <w:pPr>
        <w:pStyle w:val="ConsPlusNormal"/>
        <w:ind w:firstLine="540"/>
        <w:jc w:val="both"/>
        <w:rPr>
          <w:b/>
          <w:i/>
        </w:rPr>
      </w:pPr>
    </w:p>
    <w:p w:rsidR="000647F2" w:rsidRPr="00B73C85" w:rsidRDefault="000647F2" w:rsidP="0081789B">
      <w:pPr>
        <w:ind w:firstLine="567"/>
        <w:jc w:val="both"/>
        <w:rPr>
          <w:rFonts w:eastAsia="Calibri"/>
        </w:rPr>
      </w:pPr>
      <w:r w:rsidRPr="00B73C85">
        <w:rPr>
          <w:rFonts w:eastAsia="Calibri"/>
        </w:rPr>
        <w:t xml:space="preserve">Факторы и условия (влияние инфляции, изменение курсов иностранных валют, решения государственных органов, иные экономические, финансовые, политические и другие факторы), влияющие на деятельность эмитента и оказавшие влияние на изменение размера выручки от продажи эмитентом товаров, продукции, работ, услуг и прибыли (убытков) эмитента от основной деятельности. </w:t>
      </w:r>
    </w:p>
    <w:p w:rsidR="00A06BCF" w:rsidRDefault="00A06BCF" w:rsidP="008954A7">
      <w:pPr>
        <w:widowControl/>
        <w:tabs>
          <w:tab w:val="left" w:pos="851"/>
        </w:tabs>
        <w:spacing w:before="0" w:after="0"/>
        <w:ind w:firstLine="567"/>
        <w:jc w:val="both"/>
        <w:rPr>
          <w:rFonts w:ascii="Arial" w:hAnsi="Arial" w:cs="Arial"/>
          <w:b/>
          <w:i/>
        </w:rPr>
      </w:pPr>
    </w:p>
    <w:p w:rsidR="008954A7" w:rsidRPr="008954A7" w:rsidRDefault="008954A7" w:rsidP="008954A7">
      <w:pPr>
        <w:widowControl/>
        <w:tabs>
          <w:tab w:val="left" w:pos="851"/>
        </w:tabs>
        <w:spacing w:before="0" w:after="0"/>
        <w:ind w:firstLine="567"/>
        <w:jc w:val="both"/>
        <w:rPr>
          <w:rFonts w:ascii="Arial" w:hAnsi="Arial" w:cs="Arial"/>
          <w:b/>
          <w:i/>
        </w:rPr>
      </w:pPr>
      <w:r w:rsidRPr="008954A7">
        <w:rPr>
          <w:rFonts w:ascii="Arial" w:hAnsi="Arial" w:cs="Arial"/>
          <w:b/>
          <w:i/>
        </w:rPr>
        <w:t>Основная деятельность Эмитента - осуществление функции Застройщика по реализации инвестиционно-строительных проектов в Санкт-Петербурге, прежде всего в сфере массового жилищного строительства.</w:t>
      </w:r>
    </w:p>
    <w:p w:rsidR="008954A7" w:rsidRPr="008954A7" w:rsidRDefault="008954A7" w:rsidP="008954A7">
      <w:pPr>
        <w:widowControl/>
        <w:spacing w:before="0" w:after="0"/>
        <w:ind w:firstLine="567"/>
        <w:jc w:val="both"/>
        <w:rPr>
          <w:rFonts w:ascii="Arial" w:hAnsi="Arial" w:cs="Arial"/>
          <w:b/>
          <w:i/>
        </w:rPr>
      </w:pPr>
      <w:r w:rsidRPr="008954A7">
        <w:rPr>
          <w:rFonts w:ascii="Arial" w:hAnsi="Arial" w:cs="Arial"/>
          <w:b/>
          <w:i/>
        </w:rPr>
        <w:t>На деятельность Эмитента в наибольшей степени оказали влияние следующие положительные факторы и условия:</w:t>
      </w:r>
    </w:p>
    <w:p w:rsidR="008954A7" w:rsidRPr="008954A7" w:rsidRDefault="008954A7" w:rsidP="008954A7">
      <w:pPr>
        <w:pStyle w:val="a9"/>
        <w:widowControl/>
        <w:numPr>
          <w:ilvl w:val="0"/>
          <w:numId w:val="30"/>
        </w:numPr>
        <w:suppressAutoHyphens/>
        <w:adjustRightInd/>
        <w:spacing w:after="0"/>
        <w:ind w:left="0" w:firstLine="567"/>
        <w:contextualSpacing w:val="0"/>
        <w:jc w:val="both"/>
        <w:textAlignment w:val="baseline"/>
        <w:rPr>
          <w:rFonts w:ascii="Arial" w:hAnsi="Arial" w:cs="Arial"/>
          <w:b/>
          <w:i/>
        </w:rPr>
      </w:pPr>
      <w:r w:rsidRPr="008954A7">
        <w:rPr>
          <w:rFonts w:ascii="Arial" w:hAnsi="Arial" w:cs="Arial"/>
          <w:b/>
          <w:i/>
        </w:rPr>
        <w:t>последовательное снижение ключевой ставки Банком России (30 января 2015 года с 17 до 15% годовых, 13 марта</w:t>
      </w:r>
      <w:r w:rsidR="00997856">
        <w:rPr>
          <w:rFonts w:ascii="Arial" w:hAnsi="Arial" w:cs="Arial"/>
          <w:b/>
          <w:i/>
        </w:rPr>
        <w:t xml:space="preserve"> 2015 года</w:t>
      </w:r>
      <w:r w:rsidRPr="008954A7">
        <w:rPr>
          <w:rFonts w:ascii="Arial" w:hAnsi="Arial" w:cs="Arial"/>
          <w:b/>
          <w:i/>
        </w:rPr>
        <w:t xml:space="preserve"> – до 14% годовых, 30 апреля </w:t>
      </w:r>
      <w:r w:rsidR="00997856">
        <w:rPr>
          <w:rFonts w:ascii="Arial" w:hAnsi="Arial" w:cs="Arial"/>
          <w:b/>
          <w:i/>
        </w:rPr>
        <w:t>2015 года</w:t>
      </w:r>
      <w:r w:rsidRPr="008954A7">
        <w:rPr>
          <w:rFonts w:ascii="Arial" w:hAnsi="Arial" w:cs="Arial"/>
          <w:b/>
          <w:i/>
        </w:rPr>
        <w:t xml:space="preserve">– до 12,5% годовых, 15 июня </w:t>
      </w:r>
      <w:r w:rsidR="00997856">
        <w:rPr>
          <w:rFonts w:ascii="Arial" w:hAnsi="Arial" w:cs="Arial"/>
          <w:b/>
          <w:i/>
        </w:rPr>
        <w:t>2015 года</w:t>
      </w:r>
      <w:r w:rsidRPr="008954A7">
        <w:rPr>
          <w:rFonts w:ascii="Arial" w:hAnsi="Arial" w:cs="Arial"/>
          <w:b/>
          <w:i/>
        </w:rPr>
        <w:t xml:space="preserve">– до 11,5% годовых, 3 августа </w:t>
      </w:r>
      <w:r w:rsidR="00997856">
        <w:rPr>
          <w:rFonts w:ascii="Arial" w:hAnsi="Arial" w:cs="Arial"/>
          <w:b/>
          <w:i/>
        </w:rPr>
        <w:t xml:space="preserve">2015 года </w:t>
      </w:r>
      <w:r w:rsidRPr="008954A7">
        <w:rPr>
          <w:rFonts w:ascii="Arial" w:hAnsi="Arial" w:cs="Arial"/>
          <w:b/>
          <w:i/>
        </w:rPr>
        <w:t>– до 11% годовых), после резкого повышения в декабре 2014 года до 17% годовых, повышает доступность кредитных средств для реального сектора экономики;</w:t>
      </w:r>
    </w:p>
    <w:p w:rsidR="003A2721" w:rsidRPr="008954A7" w:rsidRDefault="003A2721" w:rsidP="003A2721">
      <w:pPr>
        <w:pStyle w:val="a9"/>
        <w:widowControl/>
        <w:numPr>
          <w:ilvl w:val="0"/>
          <w:numId w:val="30"/>
        </w:numPr>
        <w:suppressAutoHyphens/>
        <w:adjustRightInd/>
        <w:spacing w:after="0"/>
        <w:ind w:left="0" w:firstLine="567"/>
        <w:contextualSpacing w:val="0"/>
        <w:jc w:val="both"/>
        <w:textAlignment w:val="baseline"/>
        <w:rPr>
          <w:rFonts w:ascii="Arial" w:hAnsi="Arial" w:cs="Arial"/>
          <w:b/>
          <w:i/>
        </w:rPr>
      </w:pPr>
      <w:r w:rsidRPr="008954A7">
        <w:rPr>
          <w:rFonts w:ascii="Arial" w:hAnsi="Arial" w:cs="Arial"/>
          <w:b/>
          <w:i/>
        </w:rPr>
        <w:t>принятие Правительством России 13 марта 2015 года в рамках принятых антикризисных мер постановления, в соответствии с которым Агентству по ипотечному жилищному кредитованию (АИЖК) и банкам РФ выделено 20 млрд руб. в 2015 году для субсидирования процентных ставок по ипотечным кредитам, выдаваемым на приобретение жилья на первичном рынке. Максимальная величина процентной ставки по ипотечным кредитам с использованием субсидирования закреплена на уровне 12%</w:t>
      </w:r>
      <w:r w:rsidR="00997856">
        <w:rPr>
          <w:rFonts w:ascii="Arial" w:hAnsi="Arial" w:cs="Arial"/>
          <w:b/>
          <w:i/>
        </w:rPr>
        <w:t xml:space="preserve"> годовых</w:t>
      </w:r>
      <w:r w:rsidRPr="008954A7">
        <w:rPr>
          <w:rFonts w:ascii="Arial" w:hAnsi="Arial" w:cs="Arial"/>
          <w:b/>
          <w:i/>
        </w:rPr>
        <w:t>. 29 февраля 2016 г</w:t>
      </w:r>
      <w:r w:rsidR="00997856">
        <w:rPr>
          <w:rFonts w:ascii="Arial" w:hAnsi="Arial" w:cs="Arial"/>
          <w:b/>
          <w:i/>
        </w:rPr>
        <w:t>ода</w:t>
      </w:r>
      <w:r w:rsidRPr="008954A7">
        <w:rPr>
          <w:rFonts w:ascii="Arial" w:hAnsi="Arial" w:cs="Arial"/>
          <w:b/>
          <w:i/>
        </w:rPr>
        <w:t xml:space="preserve"> принятие Правительством России постановления </w:t>
      </w:r>
      <w:r>
        <w:rPr>
          <w:rFonts w:ascii="Arial" w:hAnsi="Arial" w:cs="Arial"/>
          <w:b/>
          <w:i/>
        </w:rPr>
        <w:t xml:space="preserve">№ 150 </w:t>
      </w:r>
      <w:r w:rsidRPr="008954A7">
        <w:rPr>
          <w:rFonts w:ascii="Arial" w:hAnsi="Arial" w:cs="Arial"/>
          <w:b/>
          <w:i/>
        </w:rPr>
        <w:t>о продление указанной программы до 1 января 2017 г</w:t>
      </w:r>
      <w:r w:rsidR="00997856">
        <w:rPr>
          <w:rFonts w:ascii="Arial" w:hAnsi="Arial" w:cs="Arial"/>
          <w:b/>
          <w:i/>
        </w:rPr>
        <w:t>ода</w:t>
      </w:r>
      <w:r w:rsidRPr="008954A7">
        <w:rPr>
          <w:rFonts w:ascii="Arial" w:hAnsi="Arial" w:cs="Arial"/>
          <w:b/>
          <w:i/>
        </w:rPr>
        <w:t xml:space="preserve">, согласно которому общий объем </w:t>
      </w:r>
      <w:r>
        <w:rPr>
          <w:rFonts w:ascii="Arial" w:hAnsi="Arial" w:cs="Arial"/>
          <w:b/>
          <w:i/>
        </w:rPr>
        <w:t>кредитов и займов, выдаваемых в рамках программы субсидирования ставок по ипотечным кредитам и займам, выдаваемым</w:t>
      </w:r>
      <w:r w:rsidRPr="008954A7">
        <w:rPr>
          <w:rFonts w:ascii="Arial" w:hAnsi="Arial" w:cs="Arial"/>
          <w:b/>
          <w:i/>
        </w:rPr>
        <w:t xml:space="preserve"> российским</w:t>
      </w:r>
      <w:r>
        <w:rPr>
          <w:rFonts w:ascii="Arial" w:hAnsi="Arial" w:cs="Arial"/>
          <w:b/>
          <w:i/>
        </w:rPr>
        <w:t>и</w:t>
      </w:r>
      <w:r w:rsidRPr="008954A7">
        <w:rPr>
          <w:rFonts w:ascii="Arial" w:hAnsi="Arial" w:cs="Arial"/>
          <w:b/>
          <w:i/>
        </w:rPr>
        <w:t xml:space="preserve"> кредитным</w:t>
      </w:r>
      <w:r>
        <w:rPr>
          <w:rFonts w:ascii="Arial" w:hAnsi="Arial" w:cs="Arial"/>
          <w:b/>
          <w:i/>
        </w:rPr>
        <w:t>и</w:t>
      </w:r>
      <w:r w:rsidRPr="008954A7">
        <w:rPr>
          <w:rFonts w:ascii="Arial" w:hAnsi="Arial" w:cs="Arial"/>
          <w:b/>
          <w:i/>
        </w:rPr>
        <w:t xml:space="preserve"> организациям</w:t>
      </w:r>
      <w:r>
        <w:rPr>
          <w:rFonts w:ascii="Arial" w:hAnsi="Arial" w:cs="Arial"/>
          <w:b/>
          <w:i/>
        </w:rPr>
        <w:t>и</w:t>
      </w:r>
      <w:r w:rsidRPr="008954A7">
        <w:rPr>
          <w:rFonts w:ascii="Arial" w:hAnsi="Arial" w:cs="Arial"/>
          <w:b/>
          <w:i/>
        </w:rPr>
        <w:t xml:space="preserve"> и </w:t>
      </w:r>
      <w:r>
        <w:rPr>
          <w:rFonts w:ascii="Arial" w:hAnsi="Arial" w:cs="Arial"/>
          <w:b/>
          <w:i/>
        </w:rPr>
        <w:t xml:space="preserve">права требования по которым приобретены </w:t>
      </w:r>
      <w:r w:rsidRPr="008954A7">
        <w:rPr>
          <w:rFonts w:ascii="Arial" w:hAnsi="Arial" w:cs="Arial"/>
          <w:b/>
          <w:i/>
        </w:rPr>
        <w:t>АИЖК</w:t>
      </w:r>
      <w:r>
        <w:rPr>
          <w:rFonts w:ascii="Arial" w:hAnsi="Arial" w:cs="Arial"/>
          <w:b/>
          <w:i/>
        </w:rPr>
        <w:t xml:space="preserve">, увеличен до </w:t>
      </w:r>
      <w:r w:rsidRPr="008954A7">
        <w:rPr>
          <w:rFonts w:ascii="Arial" w:hAnsi="Arial" w:cs="Arial"/>
          <w:b/>
          <w:i/>
        </w:rPr>
        <w:t>1 трлн. руб.;</w:t>
      </w:r>
    </w:p>
    <w:p w:rsidR="008954A7" w:rsidRPr="008954A7" w:rsidRDefault="008954A7" w:rsidP="008954A7">
      <w:pPr>
        <w:pStyle w:val="a9"/>
        <w:widowControl/>
        <w:numPr>
          <w:ilvl w:val="0"/>
          <w:numId w:val="30"/>
        </w:numPr>
        <w:suppressAutoHyphens/>
        <w:adjustRightInd/>
        <w:spacing w:after="0"/>
        <w:ind w:left="0" w:firstLine="567"/>
        <w:contextualSpacing w:val="0"/>
        <w:jc w:val="both"/>
        <w:textAlignment w:val="baseline"/>
        <w:rPr>
          <w:rFonts w:ascii="Arial" w:hAnsi="Arial" w:cs="Arial"/>
          <w:b/>
          <w:i/>
        </w:rPr>
      </w:pPr>
      <w:r w:rsidRPr="008954A7">
        <w:rPr>
          <w:rFonts w:ascii="Arial" w:hAnsi="Arial" w:cs="Arial"/>
          <w:b/>
          <w:i/>
        </w:rPr>
        <w:t xml:space="preserve">снижение средневзвешенной ставки по ипотечным кредитам с 13,33% на 31.12.2015 до 12,51% на 01.02.2016 г. (данные Банка России по всем регионам России);  </w:t>
      </w:r>
    </w:p>
    <w:p w:rsidR="008954A7" w:rsidRPr="008954A7" w:rsidRDefault="008954A7" w:rsidP="008954A7">
      <w:pPr>
        <w:pStyle w:val="a9"/>
        <w:widowControl/>
        <w:numPr>
          <w:ilvl w:val="0"/>
          <w:numId w:val="30"/>
        </w:numPr>
        <w:suppressAutoHyphens/>
        <w:adjustRightInd/>
        <w:spacing w:after="0"/>
        <w:ind w:left="0" w:firstLine="567"/>
        <w:contextualSpacing w:val="0"/>
        <w:jc w:val="both"/>
        <w:textAlignment w:val="baseline"/>
        <w:rPr>
          <w:rFonts w:ascii="Arial" w:hAnsi="Arial" w:cs="Arial"/>
          <w:b/>
          <w:i/>
        </w:rPr>
      </w:pPr>
      <w:r w:rsidRPr="008954A7">
        <w:rPr>
          <w:rFonts w:ascii="Arial" w:hAnsi="Arial" w:cs="Arial"/>
          <w:b/>
          <w:i/>
        </w:rPr>
        <w:t>снижение показателя инфляции в годовом выражении: с 12,9% в декабре 2015 г</w:t>
      </w:r>
      <w:r w:rsidR="00997856">
        <w:rPr>
          <w:rFonts w:ascii="Arial" w:hAnsi="Arial" w:cs="Arial"/>
          <w:b/>
          <w:i/>
        </w:rPr>
        <w:t>ода</w:t>
      </w:r>
      <w:r w:rsidRPr="008954A7">
        <w:rPr>
          <w:rFonts w:ascii="Arial" w:hAnsi="Arial" w:cs="Arial"/>
          <w:b/>
          <w:i/>
        </w:rPr>
        <w:t xml:space="preserve"> до 9,8% в январе 2016 г</w:t>
      </w:r>
      <w:r w:rsidR="00997856">
        <w:rPr>
          <w:rFonts w:ascii="Arial" w:hAnsi="Arial" w:cs="Arial"/>
          <w:b/>
          <w:i/>
        </w:rPr>
        <w:t>ода</w:t>
      </w:r>
      <w:r w:rsidRPr="008954A7">
        <w:rPr>
          <w:rFonts w:ascii="Arial" w:hAnsi="Arial" w:cs="Arial"/>
          <w:b/>
          <w:i/>
        </w:rPr>
        <w:t xml:space="preserve"> и 8,1% в феврале 2016 г</w:t>
      </w:r>
      <w:r w:rsidR="00997856">
        <w:rPr>
          <w:rFonts w:ascii="Arial" w:hAnsi="Arial" w:cs="Arial"/>
          <w:b/>
          <w:i/>
        </w:rPr>
        <w:t>ода</w:t>
      </w:r>
      <w:r w:rsidRPr="008954A7">
        <w:rPr>
          <w:rFonts w:ascii="Arial" w:hAnsi="Arial" w:cs="Arial"/>
          <w:b/>
          <w:i/>
        </w:rPr>
        <w:t>.</w:t>
      </w:r>
    </w:p>
    <w:p w:rsidR="008954A7" w:rsidRPr="008954A7" w:rsidRDefault="008954A7" w:rsidP="008954A7">
      <w:pPr>
        <w:widowControl/>
        <w:spacing w:before="0" w:after="0"/>
        <w:ind w:firstLine="567"/>
        <w:jc w:val="both"/>
        <w:rPr>
          <w:rFonts w:ascii="Arial" w:hAnsi="Arial" w:cs="Arial"/>
          <w:b/>
          <w:i/>
        </w:rPr>
      </w:pPr>
      <w:r w:rsidRPr="008954A7">
        <w:rPr>
          <w:rFonts w:ascii="Arial" w:hAnsi="Arial" w:cs="Arial"/>
          <w:b/>
          <w:i/>
        </w:rPr>
        <w:t>Все вышеуказанные положительные факторы оказывали поддержку спросу на готовое и строящееся жилье.</w:t>
      </w:r>
    </w:p>
    <w:p w:rsidR="008954A7" w:rsidRPr="008954A7" w:rsidRDefault="008954A7" w:rsidP="008954A7">
      <w:pPr>
        <w:widowControl/>
        <w:spacing w:before="0" w:after="0"/>
        <w:ind w:firstLine="567"/>
        <w:jc w:val="both"/>
        <w:rPr>
          <w:rFonts w:ascii="Arial" w:hAnsi="Arial" w:cs="Arial"/>
          <w:b/>
          <w:i/>
        </w:rPr>
      </w:pPr>
    </w:p>
    <w:p w:rsidR="008954A7" w:rsidRPr="008954A7" w:rsidRDefault="008954A7" w:rsidP="008954A7">
      <w:pPr>
        <w:widowControl/>
        <w:spacing w:before="0" w:after="0"/>
        <w:ind w:firstLine="567"/>
        <w:jc w:val="both"/>
        <w:rPr>
          <w:rFonts w:ascii="Arial" w:hAnsi="Arial" w:cs="Arial"/>
          <w:b/>
          <w:i/>
        </w:rPr>
      </w:pPr>
      <w:r w:rsidRPr="008954A7">
        <w:rPr>
          <w:rFonts w:ascii="Arial" w:hAnsi="Arial" w:cs="Arial"/>
          <w:b/>
          <w:i/>
        </w:rPr>
        <w:t>На деятельность Эмитента в наибольшей степени влияют следующие отрицательные факторы и условия:</w:t>
      </w:r>
    </w:p>
    <w:p w:rsidR="008954A7" w:rsidRPr="00FF635F" w:rsidRDefault="008954A7" w:rsidP="00FF635F">
      <w:pPr>
        <w:pStyle w:val="a9"/>
        <w:widowControl/>
        <w:numPr>
          <w:ilvl w:val="0"/>
          <w:numId w:val="32"/>
        </w:numPr>
        <w:suppressAutoHyphens/>
        <w:adjustRightInd/>
        <w:spacing w:after="0"/>
        <w:ind w:left="0" w:firstLine="567"/>
        <w:jc w:val="both"/>
        <w:textAlignment w:val="baseline"/>
        <w:rPr>
          <w:rFonts w:ascii="Arial" w:hAnsi="Arial" w:cs="Arial"/>
          <w:b/>
          <w:i/>
        </w:rPr>
      </w:pPr>
      <w:r w:rsidRPr="00FF635F">
        <w:rPr>
          <w:rFonts w:ascii="Arial" w:hAnsi="Arial" w:cs="Arial"/>
          <w:b/>
          <w:i/>
        </w:rPr>
        <w:t>Существенный рост потребительских цен;</w:t>
      </w:r>
    </w:p>
    <w:p w:rsidR="008954A7" w:rsidRPr="00FF635F" w:rsidRDefault="008954A7" w:rsidP="00FF635F">
      <w:pPr>
        <w:pStyle w:val="a9"/>
        <w:widowControl/>
        <w:numPr>
          <w:ilvl w:val="0"/>
          <w:numId w:val="32"/>
        </w:numPr>
        <w:suppressAutoHyphens/>
        <w:adjustRightInd/>
        <w:spacing w:after="0"/>
        <w:ind w:left="0" w:firstLine="567"/>
        <w:jc w:val="both"/>
        <w:textAlignment w:val="baseline"/>
        <w:rPr>
          <w:rFonts w:ascii="Arial" w:hAnsi="Arial" w:cs="Arial"/>
          <w:b/>
          <w:i/>
        </w:rPr>
      </w:pPr>
      <w:r w:rsidRPr="00FF635F">
        <w:rPr>
          <w:rFonts w:ascii="Arial" w:hAnsi="Arial" w:cs="Arial"/>
          <w:b/>
          <w:i/>
        </w:rPr>
        <w:t>Увеличение волатильности показателя инфляции;</w:t>
      </w:r>
    </w:p>
    <w:p w:rsidR="008954A7" w:rsidRPr="00FF635F" w:rsidRDefault="008954A7" w:rsidP="00FF635F">
      <w:pPr>
        <w:pStyle w:val="a9"/>
        <w:widowControl/>
        <w:numPr>
          <w:ilvl w:val="0"/>
          <w:numId w:val="32"/>
        </w:numPr>
        <w:suppressAutoHyphens/>
        <w:adjustRightInd/>
        <w:spacing w:after="0"/>
        <w:ind w:left="0" w:firstLine="567"/>
        <w:jc w:val="both"/>
        <w:textAlignment w:val="baseline"/>
        <w:rPr>
          <w:rFonts w:ascii="Arial" w:hAnsi="Arial" w:cs="Arial"/>
          <w:b/>
          <w:i/>
        </w:rPr>
      </w:pPr>
      <w:r w:rsidRPr="00FF635F">
        <w:rPr>
          <w:rFonts w:ascii="Arial" w:hAnsi="Arial" w:cs="Arial"/>
          <w:b/>
          <w:i/>
        </w:rPr>
        <w:t>Значительная волатильность мировых цен на нефть, порождающая дополнительную неуверенность и инфляционные ожидания у населения, основного потребителя продукции Эмитента;</w:t>
      </w:r>
    </w:p>
    <w:p w:rsidR="008954A7" w:rsidRPr="00FF635F" w:rsidRDefault="008954A7" w:rsidP="00FF635F">
      <w:pPr>
        <w:pStyle w:val="a9"/>
        <w:widowControl/>
        <w:numPr>
          <w:ilvl w:val="0"/>
          <w:numId w:val="32"/>
        </w:numPr>
        <w:suppressAutoHyphens/>
        <w:adjustRightInd/>
        <w:spacing w:after="0"/>
        <w:ind w:left="0" w:firstLine="567"/>
        <w:jc w:val="both"/>
        <w:textAlignment w:val="baseline"/>
        <w:rPr>
          <w:rFonts w:ascii="Arial" w:hAnsi="Arial" w:cs="Arial"/>
          <w:b/>
          <w:i/>
        </w:rPr>
      </w:pPr>
      <w:r w:rsidRPr="00FF635F">
        <w:rPr>
          <w:rFonts w:ascii="Arial" w:hAnsi="Arial" w:cs="Arial"/>
          <w:b/>
          <w:i/>
        </w:rPr>
        <w:t>Ослабление курса рубля РФ относительно мировых валют;</w:t>
      </w:r>
    </w:p>
    <w:p w:rsidR="008954A7" w:rsidRPr="00FF635F" w:rsidRDefault="008954A7" w:rsidP="00FF635F">
      <w:pPr>
        <w:pStyle w:val="a9"/>
        <w:widowControl/>
        <w:numPr>
          <w:ilvl w:val="0"/>
          <w:numId w:val="32"/>
        </w:numPr>
        <w:suppressAutoHyphens/>
        <w:adjustRightInd/>
        <w:spacing w:after="0"/>
        <w:ind w:left="0" w:firstLine="567"/>
        <w:jc w:val="both"/>
        <w:textAlignment w:val="baseline"/>
        <w:rPr>
          <w:rFonts w:ascii="Arial" w:hAnsi="Arial" w:cs="Arial"/>
          <w:b/>
          <w:i/>
        </w:rPr>
      </w:pPr>
      <w:r w:rsidRPr="00FF635F">
        <w:rPr>
          <w:rFonts w:ascii="Arial" w:hAnsi="Arial" w:cs="Arial"/>
          <w:b/>
          <w:i/>
        </w:rPr>
        <w:t>Продолжающееся сокращение ВВП России;</w:t>
      </w:r>
    </w:p>
    <w:p w:rsidR="008954A7" w:rsidRPr="00FF635F" w:rsidRDefault="008954A7" w:rsidP="00FF635F">
      <w:pPr>
        <w:pStyle w:val="a9"/>
        <w:widowControl/>
        <w:numPr>
          <w:ilvl w:val="0"/>
          <w:numId w:val="32"/>
        </w:numPr>
        <w:suppressAutoHyphens/>
        <w:adjustRightInd/>
        <w:spacing w:after="0"/>
        <w:ind w:left="0" w:firstLine="567"/>
        <w:jc w:val="both"/>
        <w:textAlignment w:val="baseline"/>
        <w:rPr>
          <w:rFonts w:ascii="Arial" w:hAnsi="Arial" w:cs="Arial"/>
          <w:b/>
          <w:i/>
        </w:rPr>
      </w:pPr>
      <w:r w:rsidRPr="00FF635F">
        <w:rPr>
          <w:rFonts w:ascii="Arial" w:hAnsi="Arial" w:cs="Arial"/>
          <w:b/>
          <w:i/>
        </w:rPr>
        <w:t>Сохранение высокой стоимости заимствований на национальном финансовом рынке;</w:t>
      </w:r>
    </w:p>
    <w:p w:rsidR="008954A7" w:rsidRPr="00FF635F" w:rsidRDefault="008954A7" w:rsidP="00FF635F">
      <w:pPr>
        <w:pStyle w:val="a9"/>
        <w:widowControl/>
        <w:numPr>
          <w:ilvl w:val="0"/>
          <w:numId w:val="32"/>
        </w:numPr>
        <w:suppressAutoHyphens/>
        <w:adjustRightInd/>
        <w:spacing w:after="0"/>
        <w:ind w:left="0" w:firstLine="567"/>
        <w:jc w:val="both"/>
        <w:textAlignment w:val="baseline"/>
        <w:rPr>
          <w:rFonts w:ascii="Arial" w:hAnsi="Arial" w:cs="Arial"/>
          <w:b/>
          <w:i/>
        </w:rPr>
      </w:pPr>
      <w:r w:rsidRPr="00FF635F">
        <w:rPr>
          <w:rFonts w:ascii="Arial" w:hAnsi="Arial" w:cs="Arial"/>
          <w:b/>
          <w:i/>
        </w:rPr>
        <w:t>Снижение реальных располагаемых доходов населения в феврале 2016 г</w:t>
      </w:r>
      <w:r w:rsidR="00997856">
        <w:rPr>
          <w:rFonts w:ascii="Arial" w:hAnsi="Arial" w:cs="Arial"/>
          <w:b/>
          <w:i/>
        </w:rPr>
        <w:t>ода</w:t>
      </w:r>
      <w:r w:rsidRPr="00FF635F">
        <w:rPr>
          <w:rFonts w:ascii="Arial" w:hAnsi="Arial" w:cs="Arial"/>
          <w:b/>
          <w:i/>
        </w:rPr>
        <w:t xml:space="preserve"> по сравнению с соответствующим периодом предыдущего года на 6,9%, в январе-феврале 2016 г</w:t>
      </w:r>
      <w:r w:rsidR="00997856">
        <w:rPr>
          <w:rFonts w:ascii="Arial" w:hAnsi="Arial" w:cs="Arial"/>
          <w:b/>
          <w:i/>
        </w:rPr>
        <w:t>ода</w:t>
      </w:r>
      <w:r w:rsidRPr="00FF635F">
        <w:rPr>
          <w:rFonts w:ascii="Arial" w:hAnsi="Arial" w:cs="Arial"/>
          <w:b/>
          <w:i/>
        </w:rPr>
        <w:t xml:space="preserve"> – на 6,7%;</w:t>
      </w:r>
    </w:p>
    <w:p w:rsidR="008954A7" w:rsidRPr="00FF635F" w:rsidRDefault="008954A7" w:rsidP="00FF635F">
      <w:pPr>
        <w:pStyle w:val="a9"/>
        <w:widowControl/>
        <w:numPr>
          <w:ilvl w:val="0"/>
          <w:numId w:val="32"/>
        </w:numPr>
        <w:suppressAutoHyphens/>
        <w:adjustRightInd/>
        <w:spacing w:after="0"/>
        <w:ind w:left="0" w:firstLine="567"/>
        <w:jc w:val="both"/>
        <w:textAlignment w:val="baseline"/>
        <w:rPr>
          <w:rFonts w:ascii="Arial" w:hAnsi="Arial" w:cs="Arial"/>
          <w:b/>
          <w:i/>
        </w:rPr>
      </w:pPr>
      <w:r w:rsidRPr="00FF635F">
        <w:rPr>
          <w:rFonts w:ascii="Arial" w:hAnsi="Arial" w:cs="Arial"/>
          <w:b/>
          <w:i/>
        </w:rPr>
        <w:t>Резкое сокращение числа страховых компаний, страхующих в соответствии с Федеральным законом от 13 июля 2015 г</w:t>
      </w:r>
      <w:r w:rsidR="00997856">
        <w:rPr>
          <w:rFonts w:ascii="Arial" w:hAnsi="Arial" w:cs="Arial"/>
          <w:b/>
          <w:i/>
        </w:rPr>
        <w:t>ода</w:t>
      </w:r>
      <w:r w:rsidRPr="00FF635F">
        <w:rPr>
          <w:rFonts w:ascii="Arial" w:hAnsi="Arial" w:cs="Arial"/>
          <w:b/>
          <w:i/>
        </w:rPr>
        <w:t xml:space="preserve"> № 236-ФЗ «О внесении изменений в отдельные законодательные акты Российской Федерации» ответственность застройщиков перед дольщиками, и, как следствие, увеличение стоимости страховых услуг для застройщиков после вступления в силу с 01.10.2015 новых требований к таким страховым компаниям.</w:t>
      </w:r>
    </w:p>
    <w:p w:rsidR="000647F2" w:rsidRDefault="000647F2" w:rsidP="000647F2">
      <w:pPr>
        <w:pStyle w:val="ConsPlusNormal"/>
        <w:ind w:left="540"/>
        <w:jc w:val="both"/>
        <w:rPr>
          <w:b/>
          <w:i/>
        </w:rPr>
      </w:pPr>
    </w:p>
    <w:p w:rsidR="000647F2" w:rsidRPr="00231487" w:rsidRDefault="000647F2" w:rsidP="0081789B">
      <w:pPr>
        <w:ind w:firstLine="567"/>
        <w:jc w:val="both"/>
        <w:rPr>
          <w:rFonts w:eastAsia="Calibri"/>
        </w:rPr>
      </w:pPr>
      <w:r w:rsidRPr="00231487">
        <w:rPr>
          <w:rFonts w:eastAsia="Calibri"/>
        </w:rPr>
        <w:t xml:space="preserve">Дается прогноз в отношении продолжительности действия указанных факторов и условий. </w:t>
      </w:r>
    </w:p>
    <w:p w:rsidR="00231487" w:rsidRPr="00857F9B" w:rsidRDefault="00231487" w:rsidP="0081789B">
      <w:pPr>
        <w:widowControl/>
        <w:spacing w:before="0" w:after="0"/>
        <w:ind w:firstLine="567"/>
        <w:jc w:val="both"/>
        <w:rPr>
          <w:rFonts w:ascii="Arial" w:hAnsi="Arial" w:cs="Arial"/>
          <w:b/>
          <w:i/>
        </w:rPr>
      </w:pPr>
      <w:r w:rsidRPr="00857F9B">
        <w:rPr>
          <w:rFonts w:ascii="Arial" w:hAnsi="Arial" w:cs="Arial"/>
          <w:b/>
          <w:i/>
        </w:rPr>
        <w:t>Эмитент прогнозирует сохранение влияния вышеуказанных факторов в среднесрочной перспективе.</w:t>
      </w:r>
    </w:p>
    <w:p w:rsidR="000647F2" w:rsidRDefault="000647F2" w:rsidP="0081789B">
      <w:pPr>
        <w:widowControl/>
        <w:tabs>
          <w:tab w:val="left" w:pos="851"/>
        </w:tabs>
        <w:spacing w:before="0" w:after="0"/>
        <w:ind w:firstLine="567"/>
        <w:jc w:val="both"/>
        <w:rPr>
          <w:b/>
          <w:i/>
          <w:sz w:val="22"/>
          <w:szCs w:val="24"/>
          <w:u w:color="000000"/>
        </w:rPr>
      </w:pPr>
    </w:p>
    <w:p w:rsidR="000647F2" w:rsidRPr="006273C4" w:rsidRDefault="000647F2" w:rsidP="0081789B">
      <w:pPr>
        <w:ind w:firstLine="567"/>
        <w:jc w:val="both"/>
        <w:rPr>
          <w:rFonts w:eastAsia="Calibri"/>
        </w:rPr>
      </w:pPr>
      <w:r w:rsidRPr="006273C4">
        <w:rPr>
          <w:rFonts w:eastAsia="Calibri"/>
        </w:rPr>
        <w:t xml:space="preserve">Описываются действия, предпринимаемые эмитентом, и действия, которые эмитент планирует предпринять в будущем для эффективного использования данных факторов и условий. </w:t>
      </w:r>
    </w:p>
    <w:p w:rsidR="006273C4" w:rsidRPr="006273C4" w:rsidRDefault="006273C4" w:rsidP="006273C4">
      <w:pPr>
        <w:widowControl/>
        <w:spacing w:before="0" w:after="0"/>
        <w:ind w:firstLine="708"/>
        <w:jc w:val="both"/>
        <w:rPr>
          <w:rFonts w:ascii="Arial" w:hAnsi="Arial" w:cs="Arial"/>
          <w:b/>
          <w:i/>
        </w:rPr>
      </w:pPr>
      <w:r w:rsidRPr="006273C4">
        <w:rPr>
          <w:rFonts w:ascii="Arial" w:hAnsi="Arial" w:cs="Arial"/>
          <w:b/>
          <w:i/>
        </w:rPr>
        <w:t xml:space="preserve">Эмитент располагает диверсифицированным портфелем инвестиционно-строительных проектов в Санкт-Петербурге, что обеспечивает возможность гибкого реагирования на изменения рыночной ситуации. В портфель входят инвестиционно-строительные проекты, ориентированные на различные классы покупателей: </w:t>
      </w:r>
    </w:p>
    <w:p w:rsidR="006273C4" w:rsidRPr="006273C4" w:rsidRDefault="006273C4" w:rsidP="006273C4">
      <w:pPr>
        <w:pStyle w:val="a9"/>
        <w:widowControl/>
        <w:numPr>
          <w:ilvl w:val="0"/>
          <w:numId w:val="33"/>
        </w:numPr>
        <w:suppressAutoHyphens/>
        <w:adjustRightInd/>
        <w:spacing w:after="0"/>
        <w:ind w:left="0" w:firstLine="567"/>
        <w:contextualSpacing w:val="0"/>
        <w:jc w:val="both"/>
        <w:textAlignment w:val="baseline"/>
        <w:rPr>
          <w:rFonts w:ascii="Arial" w:hAnsi="Arial" w:cs="Arial"/>
          <w:b/>
          <w:i/>
        </w:rPr>
      </w:pPr>
      <w:r w:rsidRPr="006273C4">
        <w:rPr>
          <w:rFonts w:ascii="Arial" w:hAnsi="Arial" w:cs="Arial"/>
          <w:b/>
          <w:i/>
        </w:rPr>
        <w:t>квартальная застройка жилой недвижимости, реализуемая в районах города, находящихся на значительном расстоянии от делового и общественного центра Санкт-Петербурга, создает возможность сформировать цены на объекты данного типа доступными широкому кругу покупателей.</w:t>
      </w:r>
    </w:p>
    <w:p w:rsidR="006273C4" w:rsidRPr="006273C4" w:rsidRDefault="006273C4" w:rsidP="006273C4">
      <w:pPr>
        <w:pStyle w:val="a9"/>
        <w:widowControl/>
        <w:numPr>
          <w:ilvl w:val="0"/>
          <w:numId w:val="33"/>
        </w:numPr>
        <w:suppressAutoHyphens/>
        <w:adjustRightInd/>
        <w:spacing w:after="0"/>
        <w:ind w:left="0" w:firstLine="567"/>
        <w:contextualSpacing w:val="0"/>
        <w:jc w:val="both"/>
        <w:textAlignment w:val="baseline"/>
        <w:rPr>
          <w:rFonts w:ascii="Arial" w:hAnsi="Arial" w:cs="Arial"/>
          <w:b/>
          <w:i/>
        </w:rPr>
      </w:pPr>
      <w:r w:rsidRPr="006273C4">
        <w:rPr>
          <w:rFonts w:ascii="Arial" w:hAnsi="Arial" w:cs="Arial"/>
          <w:b/>
          <w:i/>
        </w:rPr>
        <w:t xml:space="preserve">проекты в центральных районах города с учетом относительно небольшого объема качественного предложения в центре Санкт-Петербурга способны позитивно повлиять на денежный поток Эмитента даже при проявлении негативных тенденций на рынке массового жилищного строительства. </w:t>
      </w:r>
    </w:p>
    <w:p w:rsidR="006273C4" w:rsidRPr="006273C4" w:rsidRDefault="006273C4" w:rsidP="006273C4">
      <w:pPr>
        <w:widowControl/>
        <w:spacing w:before="0" w:after="0"/>
        <w:ind w:firstLine="851"/>
        <w:jc w:val="both"/>
        <w:rPr>
          <w:rFonts w:ascii="Arial" w:hAnsi="Arial" w:cs="Arial"/>
          <w:b/>
          <w:i/>
        </w:rPr>
      </w:pPr>
      <w:r w:rsidRPr="006273C4">
        <w:rPr>
          <w:rFonts w:ascii="Arial" w:hAnsi="Arial" w:cs="Arial"/>
          <w:b/>
          <w:i/>
        </w:rPr>
        <w:t>Эмитентом проводятся мероприятия по диверсификации портфеля проектов, улучшению качества строящегося жилья, разработке новых предложений для покупателей с учетом потребительских предпочтений и внедрению технологий, направленных на оптимизацию затрат по строительству.</w:t>
      </w:r>
    </w:p>
    <w:p w:rsidR="006273C4" w:rsidRPr="006273C4" w:rsidRDefault="006273C4" w:rsidP="006273C4">
      <w:pPr>
        <w:widowControl/>
        <w:spacing w:before="0" w:after="0"/>
        <w:ind w:firstLine="851"/>
        <w:jc w:val="both"/>
      </w:pPr>
      <w:r w:rsidRPr="006273C4">
        <w:rPr>
          <w:rFonts w:ascii="Arial" w:hAnsi="Arial" w:cs="Arial"/>
          <w:b/>
          <w:i/>
        </w:rPr>
        <w:t xml:space="preserve">Эмитент имеет возможность осуществлять реализацию квартир жителям из многочисленных регионов России, что позволяет рассчитывать на увеличение количества потенциальных покупателей. </w:t>
      </w:r>
    </w:p>
    <w:p w:rsidR="006273C4" w:rsidRPr="006273C4" w:rsidRDefault="006273C4" w:rsidP="006273C4">
      <w:pPr>
        <w:widowControl/>
        <w:spacing w:before="0" w:after="0"/>
        <w:ind w:firstLine="851"/>
        <w:jc w:val="both"/>
      </w:pPr>
      <w:r w:rsidRPr="006273C4">
        <w:rPr>
          <w:rFonts w:ascii="Arial" w:hAnsi="Arial" w:cs="Arial"/>
          <w:b/>
          <w:i/>
        </w:rPr>
        <w:t xml:space="preserve">Эмитент совместно с банками-партнерами на регулярной основе организует для покупателей «дни открытых дверей – ипотечные субботы», в ходе которых потенциальные покупатели имеют возможность в офисах продаж Эмитента получить необходимую информацию по жилым комплексам, подобрать квартиру, ознакомиться с условиями ипотечного кредитования различных банков и выбрать для себя оптимальный вариант. </w:t>
      </w:r>
    </w:p>
    <w:p w:rsidR="000647F2" w:rsidRDefault="000647F2" w:rsidP="000647F2">
      <w:pPr>
        <w:pStyle w:val="ConsPlusNormal"/>
        <w:ind w:firstLine="540"/>
        <w:jc w:val="both"/>
        <w:rPr>
          <w:b/>
          <w:i/>
        </w:rPr>
      </w:pPr>
    </w:p>
    <w:p w:rsidR="000647F2" w:rsidRPr="000449BA" w:rsidRDefault="000647F2" w:rsidP="0081789B">
      <w:pPr>
        <w:ind w:firstLine="567"/>
        <w:jc w:val="both"/>
        <w:rPr>
          <w:rFonts w:eastAsia="Calibri"/>
        </w:rPr>
      </w:pPr>
      <w:r w:rsidRPr="000449BA">
        <w:rPr>
          <w:rFonts w:eastAsia="Calibri"/>
        </w:rPr>
        <w:t xml:space="preserve">Способы, применяемые эмитентом, и способы, которые эмитент планирует использовать в будущем для снижения негативного эффекта факторов и условий, влияющих на деятельность эмитента. </w:t>
      </w:r>
    </w:p>
    <w:p w:rsidR="00A06BCF" w:rsidRDefault="00A06BCF" w:rsidP="0081789B">
      <w:pPr>
        <w:widowControl/>
        <w:spacing w:after="0"/>
        <w:ind w:firstLine="567"/>
        <w:jc w:val="both"/>
        <w:rPr>
          <w:rFonts w:ascii="Arial" w:hAnsi="Arial" w:cs="Arial"/>
          <w:b/>
          <w:i/>
        </w:rPr>
      </w:pPr>
    </w:p>
    <w:p w:rsidR="000449BA" w:rsidRPr="000449BA" w:rsidRDefault="000449BA" w:rsidP="0081789B">
      <w:pPr>
        <w:widowControl/>
        <w:spacing w:after="0"/>
        <w:ind w:firstLine="567"/>
        <w:jc w:val="both"/>
        <w:rPr>
          <w:rFonts w:ascii="Arial" w:hAnsi="Arial" w:cs="Arial"/>
          <w:b/>
          <w:i/>
        </w:rPr>
      </w:pPr>
      <w:r w:rsidRPr="000449BA">
        <w:rPr>
          <w:rFonts w:ascii="Arial" w:hAnsi="Arial" w:cs="Arial"/>
          <w:b/>
          <w:i/>
        </w:rPr>
        <w:t>В течение 2013-2014 г</w:t>
      </w:r>
      <w:r w:rsidR="00997856">
        <w:rPr>
          <w:rFonts w:ascii="Arial" w:hAnsi="Arial" w:cs="Arial"/>
          <w:b/>
          <w:i/>
        </w:rPr>
        <w:t>одов</w:t>
      </w:r>
      <w:r w:rsidRPr="000449BA">
        <w:rPr>
          <w:rFonts w:ascii="Arial" w:hAnsi="Arial" w:cs="Arial"/>
          <w:b/>
          <w:i/>
        </w:rPr>
        <w:t xml:space="preserve"> Эмитентом последовательно проводились мероприятия по минимизации риска отрицательного влияния изменения валютного курса на финансовое состояние Эмитента. 30.11.2015 г. Эмитентом в срок и в полном объеме было погашено последнее заимствование, номинированное в иностранной валюте. По состоянию на дату утверждения настоящего Проспекта в составе кредитного портфеля Эмитента отсутствуют валютные обязательства. В среднесрочной перспективе Эмитент планирует привлекать кредиты исключительно в рублях РФ, а в случае подписания соглашений об открытии новых мультивалютных кредитных линий - включать условия о возможности выборки кредита в рублях РФ. </w:t>
      </w:r>
    </w:p>
    <w:p w:rsidR="000449BA" w:rsidRPr="000449BA" w:rsidRDefault="000449BA" w:rsidP="000449BA">
      <w:pPr>
        <w:widowControl/>
        <w:spacing w:after="0"/>
        <w:ind w:firstLine="567"/>
        <w:jc w:val="both"/>
        <w:rPr>
          <w:rFonts w:ascii="Arial" w:hAnsi="Arial" w:cs="Arial"/>
          <w:b/>
          <w:i/>
        </w:rPr>
      </w:pPr>
      <w:r w:rsidRPr="000449BA">
        <w:rPr>
          <w:rFonts w:ascii="Arial" w:hAnsi="Arial" w:cs="Arial"/>
          <w:b/>
          <w:i/>
        </w:rPr>
        <w:t xml:space="preserve">18.12.2012 г. Эмитентом был размещен облигационный заем серии 02 номинальным объемом 5 млрд руб. со сроком обращения 5 лет и фиксированной ставкой по купону на уровне 12,9% годовых. 15.12.2015 г. и 15.03.2016 г. Эмитентом в срок и в полном объеме были осуществлены амортизационные выплаты в размере 550 млн. руб. каждая. По состоянию на дату утверждения настоящего Проспекта задолженность по облигационному займу составила более 30% от общего объёма ссудной задолженности Эмитента. Таким образом, по состоянию дату утверждения настоящего Проспекта риск повышения процентных ставок носит ограниченный характер и не может быть применен ко всей ссудной задолженности Эмитента. </w:t>
      </w:r>
    </w:p>
    <w:p w:rsidR="000449BA" w:rsidRPr="000449BA" w:rsidRDefault="000449BA" w:rsidP="000449BA">
      <w:pPr>
        <w:widowControl/>
        <w:spacing w:after="0"/>
        <w:ind w:firstLine="567"/>
        <w:jc w:val="both"/>
        <w:rPr>
          <w:rFonts w:ascii="Arial" w:hAnsi="Arial" w:cs="Arial"/>
          <w:b/>
          <w:i/>
        </w:rPr>
      </w:pPr>
      <w:r w:rsidRPr="000449BA">
        <w:rPr>
          <w:rFonts w:ascii="Arial" w:hAnsi="Arial" w:cs="Arial"/>
          <w:b/>
          <w:i/>
        </w:rPr>
        <w:t>В случае уменьшения количества ипотечных продуктов, вызванного в том числе завершением государственной программы субсидирования процентных ставок по ипотеке на рынке строящегося жилья и, как следствие, значительного роста ставок по ипотеке, и/или снижению доступности ипотеки для физических лиц Эмитент предполагает разработать альтернативные банковскому кредиту предложения для своих покупателей по размеру первоначального взноса и/или по программе рассрочек при приобретении жилой недвижимости. Следует отметить, что Эмитент имеет опыт предоставления длительных рассрочек для покупателей недвижимости. Так, с 2013 г</w:t>
      </w:r>
      <w:r w:rsidR="00964809">
        <w:rPr>
          <w:rFonts w:ascii="Arial" w:hAnsi="Arial" w:cs="Arial"/>
          <w:b/>
          <w:i/>
        </w:rPr>
        <w:t>ода</w:t>
      </w:r>
      <w:r w:rsidRPr="000449BA">
        <w:rPr>
          <w:rFonts w:ascii="Arial" w:hAnsi="Arial" w:cs="Arial"/>
          <w:b/>
          <w:i/>
        </w:rPr>
        <w:t xml:space="preserve"> Эмитент предоставляет рассрочку до 10 лет на приобретение квартир в отдельных объектах жилищного строительства.</w:t>
      </w:r>
    </w:p>
    <w:p w:rsidR="000449BA" w:rsidRPr="000449BA" w:rsidRDefault="000449BA" w:rsidP="0081789B">
      <w:pPr>
        <w:widowControl/>
        <w:spacing w:after="0"/>
        <w:ind w:firstLine="567"/>
        <w:jc w:val="both"/>
        <w:rPr>
          <w:rFonts w:ascii="Arial" w:hAnsi="Arial" w:cs="Arial"/>
          <w:b/>
          <w:i/>
        </w:rPr>
      </w:pPr>
      <w:r w:rsidRPr="000449BA">
        <w:rPr>
          <w:rFonts w:ascii="Arial" w:hAnsi="Arial" w:cs="Arial"/>
          <w:b/>
          <w:i/>
        </w:rPr>
        <w:t>Одним из способов компенсации негативных последствий возможного снижения спроса является регулирование объемов строительства жилья. Ряд проектов Эмитента характеризуется значительными масштабами, что позволяет Эмитенту самостоятельно регулировать объемы и темпы строительства в зависимости от спроса. При этом Эмитент обладает достаточным объемом свободных денежных средств, позволяющих осуществить строительство объекта без привлечения средств покупателей, с последующей продажей уже готового жилья в построенных домах. Тем самым Эмитент имеет возможность с большей вариативностью выстраивать стратегию продаж: продажи на стадии строительства, продажи готового жилья, продажи готовых квартир с отделкой, что позволяет покупателям сразу вселяться в квартиры.</w:t>
      </w:r>
    </w:p>
    <w:p w:rsidR="000449BA" w:rsidRPr="000449BA" w:rsidRDefault="000449BA" w:rsidP="0081789B">
      <w:pPr>
        <w:widowControl/>
        <w:spacing w:after="0"/>
        <w:ind w:firstLine="567"/>
        <w:jc w:val="both"/>
        <w:rPr>
          <w:rFonts w:ascii="Arial" w:hAnsi="Arial" w:cs="Arial"/>
          <w:b/>
          <w:i/>
        </w:rPr>
      </w:pPr>
      <w:r w:rsidRPr="000449BA">
        <w:rPr>
          <w:rFonts w:ascii="Arial" w:hAnsi="Arial" w:cs="Arial"/>
          <w:b/>
          <w:i/>
        </w:rPr>
        <w:t xml:space="preserve">В рамках законотворческой деятельности, особенно в связи с планируемой реформой системы долевого строительства большое значение приобретает участие представителей строительного сообщества в рабочих группах по обсуждению и формированию норм законодательства. </w:t>
      </w:r>
      <w:r w:rsidR="00ED408B">
        <w:rPr>
          <w:rFonts w:ascii="Arial" w:hAnsi="Arial" w:cs="Arial"/>
          <w:b/>
          <w:i/>
        </w:rPr>
        <w:t>Ч</w:t>
      </w:r>
      <w:r w:rsidRPr="000449BA">
        <w:rPr>
          <w:rFonts w:ascii="Arial" w:hAnsi="Arial" w:cs="Arial"/>
          <w:b/>
          <w:i/>
        </w:rPr>
        <w:t>ленами ведущих деловых объединений, участвующих со стороны бизнеса в законотворческом процессе являются</w:t>
      </w:r>
      <w:r w:rsidR="00ED408B">
        <w:rPr>
          <w:rFonts w:ascii="Arial" w:hAnsi="Arial" w:cs="Arial"/>
          <w:b/>
          <w:i/>
        </w:rPr>
        <w:t>,</w:t>
      </w:r>
      <w:r w:rsidRPr="000449BA">
        <w:rPr>
          <w:rFonts w:ascii="Arial" w:hAnsi="Arial" w:cs="Arial"/>
          <w:b/>
          <w:i/>
        </w:rPr>
        <w:t xml:space="preserve"> </w:t>
      </w:r>
      <w:r w:rsidR="00ED408B">
        <w:rPr>
          <w:rFonts w:ascii="Arial" w:hAnsi="Arial" w:cs="Arial"/>
          <w:b/>
          <w:i/>
        </w:rPr>
        <w:t xml:space="preserve">в том числе, и </w:t>
      </w:r>
      <w:r w:rsidRPr="000449BA">
        <w:rPr>
          <w:rFonts w:ascii="Arial" w:hAnsi="Arial" w:cs="Arial"/>
          <w:b/>
          <w:i/>
        </w:rPr>
        <w:t>представители Эмитента.</w:t>
      </w:r>
    </w:p>
    <w:p w:rsidR="000449BA" w:rsidRPr="000449BA" w:rsidRDefault="000449BA" w:rsidP="0081789B">
      <w:pPr>
        <w:widowControl/>
        <w:spacing w:before="0" w:after="0"/>
        <w:ind w:firstLine="567"/>
        <w:jc w:val="both"/>
        <w:rPr>
          <w:rFonts w:ascii="Arial" w:hAnsi="Arial" w:cs="Arial"/>
          <w:b/>
          <w:i/>
        </w:rPr>
      </w:pPr>
      <w:r w:rsidRPr="000449BA">
        <w:rPr>
          <w:rFonts w:ascii="Arial" w:hAnsi="Arial" w:cs="Arial"/>
          <w:b/>
          <w:i/>
        </w:rPr>
        <w:t>На фоне сложившихся условий функционирования и снижения суверенного кредитного рейтинга России, способы, применяемые Эмитентом для снижения влияния негативных факторов, позволили Эмитенту в июне 2015 г</w:t>
      </w:r>
      <w:r w:rsidR="00964809">
        <w:rPr>
          <w:rFonts w:ascii="Arial" w:hAnsi="Arial" w:cs="Arial"/>
          <w:b/>
          <w:i/>
        </w:rPr>
        <w:t>ода</w:t>
      </w:r>
      <w:r w:rsidRPr="000449BA">
        <w:rPr>
          <w:rFonts w:ascii="Arial" w:hAnsi="Arial" w:cs="Arial"/>
          <w:b/>
          <w:i/>
        </w:rPr>
        <w:t xml:space="preserve"> подтвердить долгосрочный кредитный рейтинг международного рейтингового агентства Standard&amp;Poor's на уровне «В+» и краткосрочный рейтинг на уровне «В». </w:t>
      </w:r>
    </w:p>
    <w:p w:rsidR="006B5480" w:rsidRDefault="000449BA" w:rsidP="0081789B">
      <w:pPr>
        <w:widowControl/>
        <w:spacing w:before="0" w:after="0"/>
        <w:ind w:firstLine="567"/>
        <w:jc w:val="both"/>
        <w:rPr>
          <w:rFonts w:ascii="Arial" w:hAnsi="Arial" w:cs="Arial"/>
          <w:b/>
          <w:i/>
        </w:rPr>
      </w:pPr>
      <w:r w:rsidRPr="000449BA">
        <w:rPr>
          <w:rFonts w:ascii="Arial" w:hAnsi="Arial" w:cs="Arial"/>
          <w:b/>
          <w:i/>
        </w:rPr>
        <w:t>В феврале 2016 г</w:t>
      </w:r>
      <w:r w:rsidR="00964809">
        <w:rPr>
          <w:rFonts w:ascii="Arial" w:hAnsi="Arial" w:cs="Arial"/>
          <w:b/>
          <w:i/>
        </w:rPr>
        <w:t>ода</w:t>
      </w:r>
      <w:r w:rsidRPr="000449BA">
        <w:rPr>
          <w:rFonts w:ascii="Arial" w:hAnsi="Arial" w:cs="Arial"/>
          <w:b/>
          <w:i/>
        </w:rPr>
        <w:t xml:space="preserve"> рейтинговое агентство Standard&amp;Poor’s подтвердило долгосрочный кредитный рейтинг облигаций Эмитента на уровне «В+» по международной шкале и на уровне «</w:t>
      </w:r>
      <w:r w:rsidRPr="000449BA">
        <w:rPr>
          <w:rFonts w:ascii="Arial" w:hAnsi="Arial" w:cs="Arial"/>
          <w:b/>
          <w:i/>
          <w:lang w:val="en-US"/>
        </w:rPr>
        <w:t>ruA</w:t>
      </w:r>
      <w:r w:rsidRPr="000449BA">
        <w:rPr>
          <w:rFonts w:ascii="Arial" w:hAnsi="Arial" w:cs="Arial"/>
          <w:b/>
          <w:i/>
        </w:rPr>
        <w:t xml:space="preserve">» по национальной шкале в рамках изменения подхода агентства к присвоению рейтинговых оценок в странах, отнесенных к группе С (Россия, Казахстан и Украина). Кроме того, Standard&amp;Poor’s исключило использование ранее присвоенных рейтингов ожидаемого уровня возмещения долга после дефолта в данных юрисдикциях, в том числе в отношении облигаций Эмитента. </w:t>
      </w:r>
    </w:p>
    <w:p w:rsidR="000449BA" w:rsidRPr="000449BA" w:rsidRDefault="000449BA" w:rsidP="0081789B">
      <w:pPr>
        <w:widowControl/>
        <w:spacing w:before="0" w:after="0"/>
        <w:ind w:firstLine="567"/>
        <w:jc w:val="both"/>
        <w:rPr>
          <w:rFonts w:ascii="Arial" w:hAnsi="Arial" w:cs="Arial"/>
          <w:b/>
          <w:i/>
        </w:rPr>
      </w:pPr>
      <w:r w:rsidRPr="000449BA">
        <w:rPr>
          <w:rFonts w:ascii="Arial" w:hAnsi="Arial" w:cs="Arial"/>
          <w:b/>
          <w:i/>
        </w:rPr>
        <w:t>В марте 2016 г</w:t>
      </w:r>
      <w:r w:rsidR="00964809">
        <w:rPr>
          <w:rFonts w:ascii="Arial" w:hAnsi="Arial" w:cs="Arial"/>
          <w:b/>
          <w:i/>
        </w:rPr>
        <w:t>ода</w:t>
      </w:r>
      <w:r w:rsidRPr="000449BA">
        <w:rPr>
          <w:rFonts w:ascii="Arial" w:hAnsi="Arial" w:cs="Arial"/>
          <w:b/>
          <w:i/>
        </w:rPr>
        <w:t xml:space="preserve"> результаты деятельности Эмитента были отмечены рейтинговым агентством </w:t>
      </w:r>
      <w:r w:rsidRPr="000449BA">
        <w:rPr>
          <w:rFonts w:ascii="Arial" w:hAnsi="Arial" w:cs="Arial"/>
          <w:b/>
          <w:i/>
          <w:lang w:val="en-US"/>
        </w:rPr>
        <w:t>RAEX</w:t>
      </w:r>
      <w:r w:rsidRPr="000449BA">
        <w:rPr>
          <w:rFonts w:ascii="Arial" w:hAnsi="Arial" w:cs="Arial"/>
          <w:b/>
          <w:i/>
        </w:rPr>
        <w:t xml:space="preserve"> (Эксперт РА), которое присвоило Эмитенту рейтинг кредитоспособности (долгосрочной кредитоспособности) на уровне А+, «Очень высокий уровень кредитоспособности», первый подуровень. Прогноз по рейтингу – «стабильный».</w:t>
      </w:r>
    </w:p>
    <w:p w:rsidR="000647F2" w:rsidRPr="00007B06" w:rsidRDefault="000647F2" w:rsidP="000647F2">
      <w:pPr>
        <w:widowControl/>
        <w:spacing w:before="0" w:after="0"/>
        <w:ind w:left="357"/>
        <w:jc w:val="both"/>
        <w:rPr>
          <w:sz w:val="22"/>
          <w:szCs w:val="22"/>
        </w:rPr>
      </w:pPr>
    </w:p>
    <w:p w:rsidR="000647F2" w:rsidRPr="002F1FB7" w:rsidRDefault="000647F2" w:rsidP="0081789B">
      <w:pPr>
        <w:pStyle w:val="ConsPlusNormal"/>
        <w:ind w:firstLine="567"/>
        <w:jc w:val="both"/>
        <w:rPr>
          <w:rFonts w:ascii="Times New Roman" w:hAnsi="Times New Roman" w:cs="Times New Roman"/>
          <w:b/>
          <w:i/>
        </w:rPr>
      </w:pPr>
      <w:r w:rsidRPr="002F1FB7">
        <w:rPr>
          <w:rFonts w:ascii="Times New Roman" w:hAnsi="Times New Roman" w:cs="Times New Roman"/>
        </w:rPr>
        <w:t xml:space="preserve">Описываются существенные события/факторы, которые могут в наибольшей степени негативно повлиять на возможность получения эмитентом в будущем таких же или более высоких результатов, по сравнению с результатами, полученными за последний завершенный отчетный период до даты утверждения проспекта ценных бумаг, а также вероятность наступления таких событий (возникновения факторов). </w:t>
      </w:r>
    </w:p>
    <w:p w:rsidR="000647F2" w:rsidRDefault="000647F2" w:rsidP="0081789B">
      <w:pPr>
        <w:pStyle w:val="ConsPlusNormal"/>
        <w:ind w:firstLine="567"/>
        <w:jc w:val="both"/>
        <w:rPr>
          <w:b/>
          <w:i/>
        </w:rPr>
      </w:pPr>
    </w:p>
    <w:p w:rsidR="002F1FB7" w:rsidRPr="002F1FB7" w:rsidRDefault="002F1FB7" w:rsidP="0081789B">
      <w:pPr>
        <w:widowControl/>
        <w:spacing w:before="0" w:after="0"/>
        <w:ind w:firstLine="567"/>
        <w:jc w:val="both"/>
        <w:rPr>
          <w:rFonts w:ascii="Arial" w:hAnsi="Arial" w:cs="Arial"/>
          <w:b/>
          <w:i/>
        </w:rPr>
      </w:pPr>
      <w:r w:rsidRPr="002F1FB7">
        <w:rPr>
          <w:rFonts w:ascii="Arial" w:hAnsi="Arial" w:cs="Arial"/>
          <w:b/>
          <w:i/>
        </w:rPr>
        <w:t>Необходимо отметить, что следующие события/факторы могут негативно повлиять на возможность получения Эмитентом таких же или более высоких результатов:</w:t>
      </w:r>
    </w:p>
    <w:p w:rsidR="002F1FB7" w:rsidRPr="002F1FB7" w:rsidRDefault="002F1FB7" w:rsidP="002F1FB7">
      <w:pPr>
        <w:pStyle w:val="a9"/>
        <w:widowControl/>
        <w:numPr>
          <w:ilvl w:val="0"/>
          <w:numId w:val="34"/>
        </w:numPr>
        <w:suppressAutoHyphens/>
        <w:adjustRightInd/>
        <w:spacing w:after="0"/>
        <w:ind w:left="0" w:firstLine="567"/>
        <w:jc w:val="both"/>
        <w:textAlignment w:val="baseline"/>
        <w:rPr>
          <w:rFonts w:ascii="Arial" w:hAnsi="Arial" w:cs="Arial"/>
          <w:b/>
          <w:i/>
        </w:rPr>
      </w:pPr>
      <w:r w:rsidRPr="002F1FB7">
        <w:rPr>
          <w:rFonts w:ascii="Arial" w:hAnsi="Arial" w:cs="Arial"/>
          <w:b/>
          <w:i/>
        </w:rPr>
        <w:t>принятый закон Санкт Петербурга от 14.02.2014 №23-9 «О региональных нормативах градостроительного проектирования, применяемых на территории Санкт-Петербурга»;</w:t>
      </w:r>
    </w:p>
    <w:p w:rsidR="002F1FB7" w:rsidRPr="002F1FB7" w:rsidRDefault="002F1FB7" w:rsidP="002F1FB7">
      <w:pPr>
        <w:pStyle w:val="a9"/>
        <w:widowControl/>
        <w:numPr>
          <w:ilvl w:val="0"/>
          <w:numId w:val="34"/>
        </w:numPr>
        <w:suppressAutoHyphens/>
        <w:adjustRightInd/>
        <w:spacing w:after="0"/>
        <w:ind w:left="0" w:firstLine="567"/>
        <w:jc w:val="both"/>
        <w:textAlignment w:val="baseline"/>
        <w:rPr>
          <w:rFonts w:ascii="Arial" w:hAnsi="Arial" w:cs="Arial"/>
          <w:b/>
          <w:i/>
        </w:rPr>
      </w:pPr>
      <w:r w:rsidRPr="002F1FB7">
        <w:rPr>
          <w:rFonts w:ascii="Arial" w:hAnsi="Arial" w:cs="Arial"/>
          <w:b/>
          <w:i/>
        </w:rPr>
        <w:t>предлагаемая Правительством РФ реформа существующей системы долевого строительства в период 2016-2020</w:t>
      </w:r>
      <w:r w:rsidR="00964809">
        <w:rPr>
          <w:rFonts w:ascii="Arial" w:hAnsi="Arial" w:cs="Arial"/>
          <w:b/>
          <w:i/>
        </w:rPr>
        <w:t xml:space="preserve"> </w:t>
      </w:r>
      <w:r w:rsidRPr="002F1FB7">
        <w:rPr>
          <w:rFonts w:ascii="Arial" w:hAnsi="Arial" w:cs="Arial"/>
          <w:b/>
          <w:i/>
        </w:rPr>
        <w:t>г</w:t>
      </w:r>
      <w:r w:rsidR="00964809">
        <w:rPr>
          <w:rFonts w:ascii="Arial" w:hAnsi="Arial" w:cs="Arial"/>
          <w:b/>
          <w:i/>
        </w:rPr>
        <w:t>одов</w:t>
      </w:r>
      <w:r w:rsidRPr="002F1FB7">
        <w:rPr>
          <w:rFonts w:ascii="Arial" w:hAnsi="Arial" w:cs="Arial"/>
          <w:b/>
          <w:i/>
        </w:rPr>
        <w:t xml:space="preserve"> вплоть до полной отмены возможности привлечения средств физических лиц на стадии строительства. Очевидно, что в случае реализации предлагаемых изменений застройщики лишатся одного из существенных источников финансирования строительства и будут вынуждены осуществлять строительство только за счет привлечения банковских средств, что в свою очередь, как минимум приведет к удорожанию строительства жилой недвижимости;</w:t>
      </w:r>
    </w:p>
    <w:p w:rsidR="002F1FB7" w:rsidRPr="002F1FB7" w:rsidRDefault="002F1FB7" w:rsidP="002F1FB7">
      <w:pPr>
        <w:pStyle w:val="a9"/>
        <w:widowControl/>
        <w:numPr>
          <w:ilvl w:val="0"/>
          <w:numId w:val="34"/>
        </w:numPr>
        <w:suppressAutoHyphens/>
        <w:adjustRightInd/>
        <w:spacing w:after="0"/>
        <w:ind w:left="0" w:firstLine="567"/>
        <w:jc w:val="both"/>
        <w:textAlignment w:val="baseline"/>
        <w:rPr>
          <w:rFonts w:ascii="Arial" w:hAnsi="Arial" w:cs="Arial"/>
          <w:b/>
          <w:i/>
        </w:rPr>
      </w:pPr>
      <w:r w:rsidRPr="002F1FB7">
        <w:rPr>
          <w:rFonts w:ascii="Arial" w:hAnsi="Arial" w:cs="Arial"/>
          <w:b/>
          <w:i/>
        </w:rPr>
        <w:t>резкое снижение в течение продолжительного периода времени спроса в сегменте массового жилищного строительства, вызванного, в том числе завершением государственной программы субсидирования процентных ставок по ипотеке.</w:t>
      </w:r>
    </w:p>
    <w:p w:rsidR="002F1FB7" w:rsidRPr="002F1FB7" w:rsidRDefault="002F1FB7" w:rsidP="002F1FB7">
      <w:pPr>
        <w:widowControl/>
        <w:spacing w:before="0" w:after="0"/>
        <w:ind w:firstLine="540"/>
        <w:jc w:val="both"/>
        <w:rPr>
          <w:rFonts w:ascii="Arial" w:hAnsi="Arial" w:cs="Arial"/>
          <w:b/>
          <w:i/>
        </w:rPr>
      </w:pPr>
      <w:r w:rsidRPr="002F1FB7">
        <w:rPr>
          <w:rFonts w:ascii="Arial" w:hAnsi="Arial" w:cs="Arial"/>
          <w:b/>
          <w:i/>
        </w:rPr>
        <w:t>Вероятность наступления данных факторов/ событий оценивается Эмитентом как средняя.</w:t>
      </w:r>
    </w:p>
    <w:p w:rsidR="000647F2" w:rsidRDefault="000647F2" w:rsidP="0081789B">
      <w:pPr>
        <w:pStyle w:val="ConsPlusNormal"/>
        <w:ind w:firstLine="540"/>
        <w:jc w:val="both"/>
        <w:rPr>
          <w:b/>
          <w:i/>
        </w:rPr>
      </w:pPr>
    </w:p>
    <w:p w:rsidR="000647F2" w:rsidRPr="002F1FB7" w:rsidRDefault="000647F2" w:rsidP="0081789B">
      <w:pPr>
        <w:pStyle w:val="ConsPlusNormal"/>
        <w:ind w:firstLine="540"/>
        <w:jc w:val="both"/>
        <w:rPr>
          <w:rFonts w:ascii="Times New Roman" w:hAnsi="Times New Roman" w:cs="Times New Roman"/>
        </w:rPr>
      </w:pPr>
      <w:r w:rsidRPr="002F1FB7">
        <w:rPr>
          <w:rFonts w:ascii="Times New Roman" w:hAnsi="Times New Roman" w:cs="Times New Roman"/>
        </w:rPr>
        <w:t>Описываются существенные события/факторы, которые могут улучшить результаты деятельности эмитента, и вероятность их наступления, а также продолжительность их действия.</w:t>
      </w:r>
    </w:p>
    <w:p w:rsidR="000647F2" w:rsidRDefault="000647F2" w:rsidP="0081789B">
      <w:pPr>
        <w:pStyle w:val="ConsPlusNormal"/>
        <w:ind w:firstLine="540"/>
        <w:jc w:val="both"/>
        <w:rPr>
          <w:b/>
          <w:i/>
        </w:rPr>
      </w:pPr>
    </w:p>
    <w:p w:rsidR="002F1FB7" w:rsidRPr="002F1FB7" w:rsidRDefault="002F1FB7" w:rsidP="0081789B">
      <w:pPr>
        <w:widowControl/>
        <w:spacing w:before="0" w:after="0"/>
        <w:ind w:firstLine="540"/>
        <w:jc w:val="both"/>
        <w:rPr>
          <w:rFonts w:ascii="Arial" w:hAnsi="Arial" w:cs="Arial"/>
          <w:b/>
          <w:i/>
        </w:rPr>
      </w:pPr>
      <w:r w:rsidRPr="002F1FB7">
        <w:rPr>
          <w:rFonts w:ascii="Arial" w:hAnsi="Arial" w:cs="Arial"/>
          <w:b/>
          <w:i/>
        </w:rPr>
        <w:t>В соответствии со Стратегией развития ипотечного жилищного кредитования в Российской Федерации до 2020 года (утв. распоряжением Правительства РФ от 08.11.2014 г. № 2242-р) количество выдаваемых в год ипотечных жилищных кредитов должно увеличиться до 921 тыс. штук, а доля сделок с ипотекой в общем количестве сделок на рынке жилья к 2017 г. до 27%. В рамках антикризисных мер Правительство РФ приняло 13 марта 2015 года постановление, в соответствии с которым Агентству по ипотечному жилищному кредитованию (АИЖК) и банкам выделено 20 млрд. руб. в 2015 году для субсидирования процентных ставок по ипотечным кредитам, выдаваемым на приобретение жилья на первичном рынке. Процентная ставка по ипотечным кредитам с использованием субсидирования не превышает 12%. Постановлением Правительства от 29 февраля 2016 г</w:t>
      </w:r>
      <w:r w:rsidR="00964809">
        <w:rPr>
          <w:rFonts w:ascii="Arial" w:hAnsi="Arial" w:cs="Arial"/>
          <w:b/>
          <w:i/>
        </w:rPr>
        <w:t>ода</w:t>
      </w:r>
      <w:r w:rsidR="003A2721">
        <w:rPr>
          <w:rFonts w:ascii="Arial" w:hAnsi="Arial" w:cs="Arial"/>
          <w:b/>
          <w:i/>
        </w:rPr>
        <w:t xml:space="preserve"> №150</w:t>
      </w:r>
      <w:r w:rsidRPr="002F1FB7">
        <w:rPr>
          <w:rFonts w:ascii="Arial" w:hAnsi="Arial" w:cs="Arial"/>
          <w:b/>
          <w:i/>
        </w:rPr>
        <w:t xml:space="preserve"> программа по субсидированию ипотечных ставок была продлена до 1 января 2017 г. Общий объем субсидий российским кредитным организациям и Агентству по ипотечному жилищному кредитованию (АИЖК) увеличен с 700 млрд. руб. до 1 трлн. руб. Таким образом, в 2016 г. рынок ипотечного жилищного кредитования продолжит получать дополнительную поддержку от государства.</w:t>
      </w:r>
    </w:p>
    <w:p w:rsidR="002F1FB7" w:rsidRPr="002F1FB7" w:rsidRDefault="002F1FB7" w:rsidP="002F1FB7">
      <w:pPr>
        <w:widowControl/>
        <w:spacing w:before="0" w:after="0"/>
        <w:ind w:firstLine="567"/>
        <w:jc w:val="both"/>
        <w:rPr>
          <w:rFonts w:ascii="Arial" w:hAnsi="Arial" w:cs="Arial"/>
          <w:b/>
          <w:i/>
        </w:rPr>
      </w:pPr>
      <w:r w:rsidRPr="002F1FB7">
        <w:rPr>
          <w:rFonts w:ascii="Arial" w:hAnsi="Arial" w:cs="Arial"/>
          <w:b/>
          <w:i/>
        </w:rPr>
        <w:t>Положительное влияние на строительную сферу окажет продленная Правительством РФ на период 2015-2020 г</w:t>
      </w:r>
      <w:r w:rsidR="00964809">
        <w:rPr>
          <w:rFonts w:ascii="Arial" w:hAnsi="Arial" w:cs="Arial"/>
          <w:b/>
          <w:i/>
        </w:rPr>
        <w:t>одов</w:t>
      </w:r>
      <w:r w:rsidRPr="002F1FB7">
        <w:rPr>
          <w:rFonts w:ascii="Arial" w:hAnsi="Arial" w:cs="Arial"/>
          <w:b/>
          <w:i/>
        </w:rPr>
        <w:t xml:space="preserve"> федеральная целевая программа «Жилище». </w:t>
      </w:r>
    </w:p>
    <w:p w:rsidR="002F1FB7" w:rsidRPr="002F1FB7" w:rsidRDefault="002F1FB7" w:rsidP="002F1FB7">
      <w:pPr>
        <w:widowControl/>
        <w:spacing w:before="0" w:after="0"/>
        <w:ind w:firstLine="567"/>
        <w:jc w:val="both"/>
        <w:rPr>
          <w:rFonts w:ascii="Arial" w:hAnsi="Arial" w:cs="Arial"/>
          <w:b/>
          <w:i/>
        </w:rPr>
      </w:pPr>
      <w:r w:rsidRPr="002F1FB7">
        <w:rPr>
          <w:rFonts w:ascii="Arial" w:hAnsi="Arial" w:cs="Arial"/>
          <w:b/>
          <w:i/>
        </w:rPr>
        <w:t xml:space="preserve">Согласно условиям программы, общий объем финансирования программы «Жилище» в 2015-2020 годах составит 691,82 млрд. руб., а свои жилищные условия улучшат более 230 тысяч семей. </w:t>
      </w:r>
    </w:p>
    <w:p w:rsidR="002F1FB7" w:rsidRPr="002F1FB7" w:rsidRDefault="002F1FB7" w:rsidP="00AF76C5">
      <w:pPr>
        <w:widowControl/>
        <w:spacing w:before="0" w:after="0"/>
        <w:ind w:firstLine="567"/>
        <w:jc w:val="both"/>
      </w:pPr>
      <w:r w:rsidRPr="002F1FB7">
        <w:rPr>
          <w:rFonts w:ascii="Arial" w:hAnsi="Arial" w:cs="Arial"/>
          <w:b/>
          <w:i/>
        </w:rPr>
        <w:t>Упрощение административных процедур также окажет положительное влияние на результаты деятельности Эмитента. Следует отметить, что 13 августа 2015 года принято Распоряжение Правительства РФ № 1554-р, утверждающее план мероприятий по отмене избыточных и дублирующих актов в сфере жилищного строительства.</w:t>
      </w:r>
      <w:r w:rsidR="00ED408B">
        <w:rPr>
          <w:rFonts w:ascii="Arial" w:hAnsi="Arial" w:cs="Arial"/>
          <w:b/>
          <w:i/>
        </w:rPr>
        <w:t xml:space="preserve"> </w:t>
      </w:r>
      <w:r w:rsidRPr="002F1FB7">
        <w:rPr>
          <w:rFonts w:ascii="Arial" w:hAnsi="Arial" w:cs="Arial"/>
          <w:b/>
          <w:i/>
        </w:rPr>
        <w:t>Указанное Распоряжение, среди прочего, позволит исключить 14 процедур полностью, заменить 33 процедуры на 7 (путем их объединения), а также оптимизирует порядок и сроки 4-х процедур. Прежде всего, реализация Плана позволит упростить присоединение жилых домов к коммунальным, газовым и электрическим сетям.</w:t>
      </w:r>
    </w:p>
    <w:p w:rsidR="000647F2" w:rsidRDefault="000647F2" w:rsidP="000647F2">
      <w:pPr>
        <w:widowControl/>
        <w:tabs>
          <w:tab w:val="left" w:pos="851"/>
        </w:tabs>
        <w:spacing w:before="0" w:after="0"/>
        <w:ind w:firstLine="708"/>
        <w:jc w:val="both"/>
        <w:rPr>
          <w:b/>
          <w:i/>
          <w:sz w:val="22"/>
          <w:szCs w:val="24"/>
          <w:u w:color="000000"/>
        </w:rPr>
      </w:pPr>
    </w:p>
    <w:p w:rsidR="000647F2" w:rsidRPr="007D3222" w:rsidRDefault="000647F2" w:rsidP="000647F2">
      <w:pPr>
        <w:pStyle w:val="ConsPlusNormal"/>
        <w:ind w:firstLine="540"/>
        <w:jc w:val="both"/>
        <w:outlineLvl w:val="1"/>
        <w:rPr>
          <w:b/>
          <w:i/>
          <w:sz w:val="28"/>
          <w:szCs w:val="28"/>
        </w:rPr>
      </w:pPr>
      <w:bookmarkStart w:id="71" w:name="_Toc448251168"/>
      <w:r w:rsidRPr="007D3222">
        <w:rPr>
          <w:b/>
          <w:i/>
          <w:sz w:val="28"/>
          <w:szCs w:val="28"/>
        </w:rPr>
        <w:t>4.7. Конкуренты эмитента</w:t>
      </w:r>
      <w:bookmarkEnd w:id="71"/>
    </w:p>
    <w:p w:rsidR="000647F2" w:rsidRPr="009800B0" w:rsidRDefault="000647F2" w:rsidP="000647F2">
      <w:pPr>
        <w:pStyle w:val="ConsPlusNormal"/>
        <w:ind w:firstLine="540"/>
        <w:jc w:val="both"/>
      </w:pPr>
    </w:p>
    <w:p w:rsidR="000647F2" w:rsidRDefault="00E06C80" w:rsidP="00E95481">
      <w:pPr>
        <w:pStyle w:val="ConsPlusNormal"/>
        <w:ind w:firstLine="540"/>
        <w:jc w:val="both"/>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0647F2" w:rsidRDefault="000647F2">
      <w:pPr>
        <w:widowControl/>
        <w:autoSpaceDE/>
        <w:autoSpaceDN/>
        <w:adjustRightInd/>
        <w:spacing w:before="0" w:after="200" w:line="276" w:lineRule="auto"/>
      </w:pPr>
      <w:r>
        <w:br w:type="page"/>
      </w:r>
    </w:p>
    <w:p w:rsidR="00434272" w:rsidRPr="007D3222" w:rsidRDefault="00434272" w:rsidP="00434272">
      <w:pPr>
        <w:pStyle w:val="ConsPlusNormal"/>
        <w:ind w:firstLine="540"/>
        <w:jc w:val="both"/>
        <w:outlineLvl w:val="0"/>
        <w:rPr>
          <w:b/>
          <w:sz w:val="32"/>
          <w:szCs w:val="32"/>
        </w:rPr>
      </w:pPr>
      <w:bookmarkStart w:id="72" w:name="_Toc448251169"/>
      <w:r w:rsidRPr="007D3222">
        <w:rPr>
          <w:b/>
          <w:sz w:val="32"/>
          <w:szCs w:val="32"/>
        </w:rPr>
        <w:t>Раздел V. Подробные сведения о лицах, входящих в состав органов управления эмитента, органов эмитента по контролю за его финансово-хозяйственной деятельностью, и краткие сведения о сотрудниках (работниках) эмитента</w:t>
      </w:r>
      <w:bookmarkEnd w:id="72"/>
    </w:p>
    <w:p w:rsidR="00434272" w:rsidRPr="007D3222" w:rsidRDefault="00434272" w:rsidP="00434272">
      <w:pPr>
        <w:pStyle w:val="ConsPlusNormal"/>
        <w:ind w:firstLine="540"/>
        <w:jc w:val="both"/>
        <w:outlineLvl w:val="1"/>
        <w:rPr>
          <w:b/>
          <w:i/>
          <w:sz w:val="28"/>
          <w:szCs w:val="28"/>
        </w:rPr>
      </w:pPr>
      <w:bookmarkStart w:id="73" w:name="_Toc448251170"/>
      <w:r w:rsidRPr="007D3222">
        <w:rPr>
          <w:b/>
          <w:i/>
          <w:sz w:val="28"/>
          <w:szCs w:val="28"/>
        </w:rPr>
        <w:t>5.1. Сведения о структуре и компетенции органов управления эмитента</w:t>
      </w:r>
      <w:bookmarkEnd w:id="73"/>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434272" w:rsidRPr="007D3222" w:rsidRDefault="00434272" w:rsidP="00434272">
      <w:pPr>
        <w:pStyle w:val="ConsPlusNormal"/>
        <w:ind w:firstLine="540"/>
        <w:jc w:val="both"/>
        <w:outlineLvl w:val="1"/>
        <w:rPr>
          <w:b/>
          <w:i/>
          <w:sz w:val="28"/>
          <w:szCs w:val="28"/>
        </w:rPr>
      </w:pPr>
      <w:bookmarkStart w:id="74" w:name="_Toc448251171"/>
      <w:r w:rsidRPr="007D3222">
        <w:rPr>
          <w:b/>
          <w:i/>
          <w:sz w:val="28"/>
          <w:szCs w:val="28"/>
        </w:rPr>
        <w:t>5.2. Информация о лицах, входящих в состав органов управления эмитента</w:t>
      </w:r>
      <w:bookmarkEnd w:id="74"/>
    </w:p>
    <w:p w:rsidR="00434272" w:rsidRPr="008830DD" w:rsidRDefault="00434272" w:rsidP="00434272">
      <w:pPr>
        <w:pStyle w:val="ConsPlusNormal"/>
        <w:ind w:firstLine="540"/>
        <w:jc w:val="both"/>
        <w:rPr>
          <w:b/>
          <w:bCs/>
          <w:i/>
          <w:iCs/>
          <w:u w:val="single"/>
        </w:rPr>
      </w:pPr>
      <w:r w:rsidRPr="008830DD">
        <w:rPr>
          <w:b/>
          <w:bCs/>
          <w:i/>
          <w:iCs/>
          <w:u w:val="single"/>
        </w:rPr>
        <w:t xml:space="preserve">Состав совета директоров Эмитента: </w:t>
      </w:r>
    </w:p>
    <w:p w:rsidR="00434272" w:rsidRPr="009D1CD4" w:rsidRDefault="00434272" w:rsidP="00434272">
      <w:pPr>
        <w:ind w:firstLine="540"/>
        <w:jc w:val="both"/>
        <w:rPr>
          <w:rFonts w:ascii="Arial" w:eastAsiaTheme="minorHAnsi" w:hAnsi="Arial" w:cs="Arial"/>
          <w:b/>
          <w:bCs/>
          <w:i/>
          <w:iCs/>
          <w:lang w:eastAsia="en-US"/>
        </w:rPr>
      </w:pPr>
      <w:r>
        <w:t>1. фамилия, имя, отчество:</w:t>
      </w:r>
      <w:r w:rsidRPr="009D1CD4">
        <w:rPr>
          <w:rFonts w:eastAsiaTheme="minorEastAsia"/>
        </w:rPr>
        <w:t xml:space="preserve"> </w:t>
      </w:r>
      <w:r w:rsidRPr="009D1CD4">
        <w:rPr>
          <w:rFonts w:ascii="Arial" w:eastAsiaTheme="minorHAnsi" w:hAnsi="Arial" w:cs="Arial"/>
          <w:b/>
          <w:bCs/>
          <w:i/>
          <w:iCs/>
          <w:lang w:eastAsia="en-US"/>
        </w:rPr>
        <w:t>Евдокимов Антон Викторович</w:t>
      </w:r>
    </w:p>
    <w:p w:rsidR="00434272" w:rsidRDefault="00434272" w:rsidP="00434272">
      <w:pPr>
        <w:pStyle w:val="ConsPlusNormal"/>
        <w:ind w:firstLine="540"/>
        <w:jc w:val="both"/>
        <w:rPr>
          <w:rFonts w:ascii="Times New Roman" w:hAnsi="Times New Roman" w:cs="Times New Roman"/>
        </w:rPr>
      </w:pPr>
      <w:r>
        <w:rPr>
          <w:rFonts w:ascii="Times New Roman" w:hAnsi="Times New Roman" w:cs="Times New Roman"/>
        </w:rPr>
        <w:t xml:space="preserve">год рождения: </w:t>
      </w:r>
      <w:r w:rsidRPr="009D1CD4">
        <w:rPr>
          <w:b/>
          <w:bCs/>
          <w:i/>
          <w:iCs/>
        </w:rPr>
        <w:t>1963</w:t>
      </w:r>
    </w:p>
    <w:p w:rsidR="00434272" w:rsidRDefault="00434272" w:rsidP="00434272">
      <w:pPr>
        <w:pStyle w:val="ConsPlusNormal"/>
        <w:ind w:firstLine="540"/>
        <w:jc w:val="both"/>
        <w:rPr>
          <w:rFonts w:ascii="Times New Roman" w:hAnsi="Times New Roman" w:cs="Times New Roman"/>
        </w:rPr>
      </w:pPr>
      <w:r>
        <w:rPr>
          <w:rFonts w:ascii="Times New Roman" w:hAnsi="Times New Roman" w:cs="Times New Roman"/>
        </w:rPr>
        <w:t>сведения об образовании:</w:t>
      </w:r>
    </w:p>
    <w:p w:rsidR="00156D5A" w:rsidRPr="005F1C4F" w:rsidRDefault="00156D5A" w:rsidP="00156D5A">
      <w:pPr>
        <w:ind w:firstLine="540"/>
        <w:jc w:val="both"/>
        <w:rPr>
          <w:rFonts w:ascii="Arial" w:hAnsi="Arial" w:cs="Arial"/>
          <w:b/>
          <w:bCs/>
          <w:i/>
          <w:iCs/>
          <w:lang w:eastAsia="en-US"/>
        </w:rPr>
      </w:pPr>
      <w:r w:rsidRPr="009D1CD4">
        <w:rPr>
          <w:rFonts w:ascii="Arial" w:eastAsiaTheme="minorHAnsi" w:hAnsi="Arial" w:cs="Arial"/>
          <w:b/>
          <w:bCs/>
          <w:i/>
          <w:iCs/>
          <w:lang w:eastAsia="en-US"/>
        </w:rPr>
        <w:t xml:space="preserve">1. </w:t>
      </w:r>
      <w:r>
        <w:rPr>
          <w:rFonts w:ascii="Arial" w:hAnsi="Arial" w:cs="Arial"/>
          <w:b/>
          <w:bCs/>
          <w:i/>
          <w:iCs/>
          <w:lang w:eastAsia="en-US"/>
        </w:rPr>
        <w:t xml:space="preserve">высшее профессиональное, </w:t>
      </w:r>
      <w:r w:rsidRPr="005F1C4F">
        <w:rPr>
          <w:rFonts w:ascii="Arial" w:hAnsi="Arial" w:cs="Arial"/>
          <w:b/>
          <w:bCs/>
          <w:i/>
          <w:iCs/>
          <w:lang w:eastAsia="en-US"/>
        </w:rPr>
        <w:t>Ленинградский ордена Октябрьской Революции и ордена Трудового Красного Знамени инженерно-строительный институт, инженер-механик;</w:t>
      </w:r>
    </w:p>
    <w:p w:rsidR="00156D5A" w:rsidRDefault="00156D5A" w:rsidP="00156D5A">
      <w:pPr>
        <w:ind w:firstLine="540"/>
        <w:jc w:val="both"/>
        <w:rPr>
          <w:rFonts w:ascii="Arial" w:eastAsiaTheme="minorHAnsi" w:hAnsi="Arial" w:cs="Arial"/>
          <w:b/>
          <w:bCs/>
          <w:i/>
          <w:iCs/>
          <w:lang w:eastAsia="en-US"/>
        </w:rPr>
      </w:pPr>
      <w:r>
        <w:rPr>
          <w:rFonts w:ascii="Arial" w:eastAsiaTheme="minorHAnsi" w:hAnsi="Arial" w:cs="Arial"/>
          <w:b/>
          <w:bCs/>
          <w:i/>
          <w:iCs/>
          <w:lang w:eastAsia="en-US"/>
        </w:rPr>
        <w:t xml:space="preserve">2. </w:t>
      </w:r>
      <w:r w:rsidRPr="009D1CD4">
        <w:rPr>
          <w:rFonts w:ascii="Arial" w:eastAsiaTheme="minorHAnsi" w:hAnsi="Arial" w:cs="Arial"/>
          <w:b/>
          <w:bCs/>
          <w:i/>
          <w:iCs/>
          <w:lang w:eastAsia="en-US"/>
        </w:rPr>
        <w:t xml:space="preserve">Санкт-Петербургский Государственный университет, экономист-международник; </w:t>
      </w:r>
    </w:p>
    <w:p w:rsidR="00156D5A" w:rsidRDefault="00156D5A" w:rsidP="00156D5A">
      <w:pPr>
        <w:ind w:firstLine="540"/>
        <w:jc w:val="both"/>
        <w:rPr>
          <w:rFonts w:ascii="Arial" w:eastAsiaTheme="minorHAnsi" w:hAnsi="Arial" w:cs="Arial"/>
          <w:b/>
          <w:bCs/>
          <w:i/>
          <w:iCs/>
          <w:lang w:eastAsia="en-US"/>
        </w:rPr>
      </w:pPr>
      <w:r>
        <w:rPr>
          <w:rFonts w:ascii="Arial" w:eastAsiaTheme="minorHAnsi" w:hAnsi="Arial" w:cs="Arial"/>
          <w:b/>
          <w:bCs/>
          <w:i/>
          <w:iCs/>
          <w:lang w:eastAsia="en-US"/>
        </w:rPr>
        <w:t xml:space="preserve">3. </w:t>
      </w:r>
      <w:r w:rsidRPr="00E50FEE">
        <w:rPr>
          <w:rFonts w:ascii="Arial" w:eastAsiaTheme="minorHAnsi" w:hAnsi="Arial" w:cs="Arial"/>
          <w:b/>
          <w:bCs/>
          <w:i/>
          <w:iCs/>
          <w:lang w:eastAsia="en-US"/>
        </w:rPr>
        <w:t>International Banking Institute (Международный банковский институт), Bank Manager (Банковский Менеджер</w:t>
      </w:r>
      <w:r>
        <w:rPr>
          <w:rFonts w:ascii="Arial" w:eastAsiaTheme="minorHAnsi" w:hAnsi="Arial" w:cs="Arial"/>
          <w:b/>
          <w:bCs/>
          <w:i/>
          <w:iCs/>
          <w:lang w:eastAsia="en-US"/>
        </w:rPr>
        <w:t>);</w:t>
      </w:r>
    </w:p>
    <w:p w:rsidR="00156D5A" w:rsidRPr="00E50FEE" w:rsidRDefault="00156D5A" w:rsidP="00156D5A">
      <w:pPr>
        <w:ind w:firstLine="540"/>
        <w:jc w:val="both"/>
        <w:rPr>
          <w:rFonts w:ascii="Arial" w:eastAsiaTheme="minorHAnsi" w:hAnsi="Arial" w:cs="Arial"/>
          <w:b/>
          <w:bCs/>
          <w:i/>
          <w:iCs/>
          <w:lang w:val="en-US" w:eastAsia="en-US"/>
        </w:rPr>
      </w:pPr>
      <w:r w:rsidRPr="00E50FEE">
        <w:rPr>
          <w:rFonts w:ascii="Arial" w:eastAsiaTheme="minorHAnsi" w:hAnsi="Arial" w:cs="Arial"/>
          <w:b/>
          <w:bCs/>
          <w:i/>
          <w:iCs/>
          <w:lang w:val="en-US" w:eastAsia="en-US"/>
        </w:rPr>
        <w:t>4. The Open University, Master of Business Administration (</w:t>
      </w:r>
      <w:r w:rsidRPr="00E50FEE">
        <w:rPr>
          <w:rFonts w:ascii="Arial" w:eastAsiaTheme="minorHAnsi" w:hAnsi="Arial" w:cs="Arial"/>
          <w:b/>
          <w:bCs/>
          <w:i/>
          <w:iCs/>
          <w:lang w:eastAsia="en-US"/>
        </w:rPr>
        <w:t>Мастер</w:t>
      </w:r>
      <w:r w:rsidRPr="00E50FEE">
        <w:rPr>
          <w:rFonts w:ascii="Arial" w:eastAsiaTheme="minorHAnsi" w:hAnsi="Arial" w:cs="Arial"/>
          <w:b/>
          <w:bCs/>
          <w:i/>
          <w:iCs/>
          <w:lang w:val="en-US" w:eastAsia="en-US"/>
        </w:rPr>
        <w:t xml:space="preserve"> </w:t>
      </w:r>
      <w:r w:rsidRPr="00E50FEE">
        <w:rPr>
          <w:rFonts w:ascii="Arial" w:eastAsiaTheme="minorHAnsi" w:hAnsi="Arial" w:cs="Arial"/>
          <w:b/>
          <w:bCs/>
          <w:i/>
          <w:iCs/>
          <w:lang w:eastAsia="en-US"/>
        </w:rPr>
        <w:t>Делового</w:t>
      </w:r>
      <w:r w:rsidRPr="00E50FEE">
        <w:rPr>
          <w:rFonts w:ascii="Arial" w:eastAsiaTheme="minorHAnsi" w:hAnsi="Arial" w:cs="Arial"/>
          <w:b/>
          <w:bCs/>
          <w:i/>
          <w:iCs/>
          <w:lang w:val="en-US" w:eastAsia="en-US"/>
        </w:rPr>
        <w:t xml:space="preserve"> </w:t>
      </w:r>
      <w:r w:rsidRPr="00E50FEE">
        <w:rPr>
          <w:rFonts w:ascii="Arial" w:eastAsiaTheme="minorHAnsi" w:hAnsi="Arial" w:cs="Arial"/>
          <w:b/>
          <w:bCs/>
          <w:i/>
          <w:iCs/>
          <w:lang w:eastAsia="en-US"/>
        </w:rPr>
        <w:t>Администриров</w:t>
      </w:r>
      <w:r>
        <w:rPr>
          <w:rFonts w:ascii="Arial" w:eastAsiaTheme="minorHAnsi" w:hAnsi="Arial" w:cs="Arial"/>
          <w:b/>
          <w:bCs/>
          <w:i/>
          <w:iCs/>
          <w:lang w:eastAsia="en-US"/>
        </w:rPr>
        <w:t>ания</w:t>
      </w:r>
      <w:r>
        <w:rPr>
          <w:rFonts w:ascii="Arial" w:eastAsiaTheme="minorHAnsi" w:hAnsi="Arial" w:cs="Arial"/>
          <w:b/>
          <w:bCs/>
          <w:i/>
          <w:iCs/>
          <w:lang w:val="en-US" w:eastAsia="en-US"/>
        </w:rPr>
        <w:t>)</w:t>
      </w:r>
      <w:r w:rsidRPr="00E50FEE">
        <w:rPr>
          <w:rFonts w:ascii="Arial" w:eastAsiaTheme="minorHAnsi" w:hAnsi="Arial" w:cs="Arial"/>
          <w:b/>
          <w:bCs/>
          <w:i/>
          <w:iCs/>
          <w:lang w:val="en-US" w:eastAsia="en-US"/>
        </w:rPr>
        <w:t>;</w:t>
      </w:r>
    </w:p>
    <w:p w:rsidR="00156D5A" w:rsidRPr="00156D5A" w:rsidRDefault="00156D5A" w:rsidP="00156D5A">
      <w:pPr>
        <w:ind w:firstLine="540"/>
        <w:jc w:val="both"/>
        <w:rPr>
          <w:rFonts w:ascii="Arial" w:eastAsiaTheme="minorHAnsi" w:hAnsi="Arial" w:cs="Arial"/>
          <w:b/>
          <w:bCs/>
          <w:i/>
          <w:iCs/>
          <w:lang w:val="en-US" w:eastAsia="en-US"/>
        </w:rPr>
      </w:pPr>
      <w:r w:rsidRPr="00E50FEE">
        <w:rPr>
          <w:rFonts w:ascii="Arial" w:eastAsiaTheme="minorHAnsi" w:hAnsi="Arial" w:cs="Arial"/>
          <w:b/>
          <w:bCs/>
          <w:i/>
          <w:iCs/>
          <w:lang w:val="en-US" w:eastAsia="en-US"/>
        </w:rPr>
        <w:t>5. The Open University, Master of Science in International Finance and Management (Магистр наук в области междун</w:t>
      </w:r>
      <w:r>
        <w:rPr>
          <w:rFonts w:ascii="Arial" w:eastAsiaTheme="minorHAnsi" w:hAnsi="Arial" w:cs="Arial"/>
          <w:b/>
          <w:bCs/>
          <w:i/>
          <w:iCs/>
          <w:lang w:val="en-US" w:eastAsia="en-US"/>
        </w:rPr>
        <w:t>ародных финансов и управления)</w:t>
      </w:r>
    </w:p>
    <w:p w:rsidR="00434272" w:rsidRDefault="00434272" w:rsidP="00434272">
      <w:pPr>
        <w:pStyle w:val="ConsPlusNormal"/>
        <w:ind w:firstLine="540"/>
        <w:jc w:val="both"/>
        <w:rPr>
          <w:rFonts w:ascii="Times New Roman" w:hAnsi="Times New Roman" w:cs="Times New Roman"/>
        </w:rPr>
      </w:pPr>
      <w:r>
        <w:rPr>
          <w:rFonts w:ascii="Times New Roman" w:hAnsi="Times New Roman" w:cs="Times New Roman"/>
        </w:rPr>
        <w:t>все должности, занимаемые таким лицом в эмитенте и других организациях за последние пять лет и в настоящее время в хронологическом порядке, в том числе по совместительству:</w:t>
      </w:r>
    </w:p>
    <w:tbl>
      <w:tblPr>
        <w:tblW w:w="0" w:type="auto"/>
        <w:tblLayout w:type="fixed"/>
        <w:tblCellMar>
          <w:left w:w="72" w:type="dxa"/>
          <w:right w:w="72" w:type="dxa"/>
        </w:tblCellMar>
        <w:tblLook w:val="0000" w:firstRow="0" w:lastRow="0" w:firstColumn="0" w:lastColumn="0" w:noHBand="0" w:noVBand="0"/>
      </w:tblPr>
      <w:tblGrid>
        <w:gridCol w:w="1332"/>
        <w:gridCol w:w="1260"/>
        <w:gridCol w:w="3980"/>
        <w:gridCol w:w="2680"/>
      </w:tblGrid>
      <w:tr w:rsidR="00434272" w:rsidTr="00B972FD">
        <w:tc>
          <w:tcPr>
            <w:tcW w:w="2592" w:type="dxa"/>
            <w:gridSpan w:val="2"/>
            <w:tcBorders>
              <w:top w:val="double" w:sz="6" w:space="0" w:color="auto"/>
              <w:left w:val="double" w:sz="6" w:space="0" w:color="auto"/>
              <w:bottom w:val="single" w:sz="6" w:space="0" w:color="auto"/>
              <w:right w:val="single" w:sz="6" w:space="0" w:color="auto"/>
            </w:tcBorders>
          </w:tcPr>
          <w:p w:rsidR="00434272" w:rsidRPr="002C4BBF" w:rsidRDefault="00434272" w:rsidP="00B972FD">
            <w:pPr>
              <w:jc w:val="center"/>
              <w:rPr>
                <w:rFonts w:ascii="Arial" w:eastAsiaTheme="minorEastAsia" w:hAnsi="Arial" w:cs="Arial"/>
                <w:b/>
                <w:i/>
              </w:rPr>
            </w:pPr>
            <w:r w:rsidRPr="002C4BBF">
              <w:rPr>
                <w:rFonts w:ascii="Arial" w:eastAsiaTheme="minorEastAsia" w:hAnsi="Arial" w:cs="Arial"/>
                <w:b/>
                <w:i/>
              </w:rPr>
              <w:t>Период</w:t>
            </w:r>
          </w:p>
        </w:tc>
        <w:tc>
          <w:tcPr>
            <w:tcW w:w="3980" w:type="dxa"/>
            <w:tcBorders>
              <w:top w:val="double" w:sz="6" w:space="0" w:color="auto"/>
              <w:left w:val="single" w:sz="6" w:space="0" w:color="auto"/>
              <w:bottom w:val="single" w:sz="6" w:space="0" w:color="auto"/>
              <w:right w:val="single" w:sz="6" w:space="0" w:color="auto"/>
            </w:tcBorders>
          </w:tcPr>
          <w:p w:rsidR="00434272" w:rsidRPr="002C4BBF" w:rsidRDefault="00434272" w:rsidP="00B972FD">
            <w:pPr>
              <w:jc w:val="center"/>
              <w:rPr>
                <w:rFonts w:ascii="Arial" w:eastAsiaTheme="minorEastAsia" w:hAnsi="Arial" w:cs="Arial"/>
                <w:b/>
                <w:i/>
              </w:rPr>
            </w:pPr>
            <w:r w:rsidRPr="002C4BBF">
              <w:rPr>
                <w:rFonts w:ascii="Arial" w:eastAsiaTheme="minorEastAsia" w:hAnsi="Arial" w:cs="Arial"/>
                <w:b/>
                <w:i/>
              </w:rPr>
              <w:t>Наименование организации</w:t>
            </w:r>
          </w:p>
        </w:tc>
        <w:tc>
          <w:tcPr>
            <w:tcW w:w="2680" w:type="dxa"/>
            <w:tcBorders>
              <w:top w:val="double" w:sz="6" w:space="0" w:color="auto"/>
              <w:left w:val="single" w:sz="6" w:space="0" w:color="auto"/>
              <w:bottom w:val="single" w:sz="6" w:space="0" w:color="auto"/>
              <w:right w:val="double" w:sz="6" w:space="0" w:color="auto"/>
            </w:tcBorders>
          </w:tcPr>
          <w:p w:rsidR="00434272" w:rsidRPr="002C4BBF" w:rsidRDefault="00434272" w:rsidP="00B972FD">
            <w:pPr>
              <w:jc w:val="center"/>
              <w:rPr>
                <w:rFonts w:ascii="Arial" w:eastAsiaTheme="minorEastAsia" w:hAnsi="Arial" w:cs="Arial"/>
                <w:b/>
                <w:i/>
              </w:rPr>
            </w:pPr>
            <w:r w:rsidRPr="002C4BBF">
              <w:rPr>
                <w:rFonts w:ascii="Arial" w:eastAsiaTheme="minorEastAsia" w:hAnsi="Arial" w:cs="Arial"/>
                <w:b/>
                <w:i/>
              </w:rPr>
              <w:t>Должность</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jc w:val="center"/>
              <w:rPr>
                <w:rFonts w:ascii="Arial" w:eastAsiaTheme="minorEastAsia" w:hAnsi="Arial" w:cs="Arial"/>
                <w:b/>
                <w:i/>
              </w:rPr>
            </w:pPr>
            <w:r w:rsidRPr="002C4BBF">
              <w:rPr>
                <w:rFonts w:ascii="Arial" w:eastAsiaTheme="minorEastAsia" w:hAnsi="Arial" w:cs="Arial"/>
                <w:b/>
                <w:i/>
              </w:rPr>
              <w:t>с</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center"/>
              <w:rPr>
                <w:rFonts w:ascii="Arial" w:eastAsiaTheme="minorEastAsia" w:hAnsi="Arial" w:cs="Arial"/>
                <w:b/>
                <w:i/>
              </w:rPr>
            </w:pPr>
            <w:r w:rsidRPr="002C4BBF">
              <w:rPr>
                <w:rFonts w:ascii="Arial" w:eastAsiaTheme="minorEastAsia" w:hAnsi="Arial" w:cs="Arial"/>
                <w:b/>
                <w:i/>
              </w:rPr>
              <w:t>по</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rPr>
                <w:rFonts w:ascii="Arial" w:eastAsiaTheme="minorEastAsia" w:hAnsi="Arial" w:cs="Arial"/>
                <w:b/>
                <w:i/>
              </w:rPr>
            </w:pP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2001</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2012</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ЗАО "Управляющая компания "Эталон"</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Заместитель генерального директора</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2001</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ЗАО "Управляющая компания "Эталон"</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2001</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ЗАО ССМО "ЛенСпецСМУ"</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Заместитель генерального директора, 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2001</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ЗАО "ЗСМ "Эталон"</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2001</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ОАО "СМУ "Электронстрой"</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2001</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ЗАО "Новатор"</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2001</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ЗАО "СПб МФТЦ"</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2002</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ЗАО "ЛенСпецСМУ-Реконструкция"</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2002</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533646" w:rsidP="00B972FD">
            <w:pPr>
              <w:rPr>
                <w:rFonts w:ascii="Arial" w:eastAsiaTheme="minorEastAsia" w:hAnsi="Arial" w:cs="Arial"/>
                <w:b/>
                <w:i/>
              </w:rPr>
            </w:pPr>
            <w:r>
              <w:rPr>
                <w:rFonts w:ascii="Arial" w:eastAsiaTheme="minorEastAsia" w:hAnsi="Arial" w:cs="Arial"/>
                <w:b/>
                <w:i/>
              </w:rPr>
              <w:t>2016</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ЗАО "Славянский строитель"</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2003</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2015</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ЗАО "АКТИВ"</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2003</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2013</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ЗАО "РемЭкс"</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2003</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2011</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ЗАО "Энергетическая компания "Теплогарант"</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2004</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ЗАО "УСР "Нулевик"</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2004</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ЗАО "УПТК-ЛенСпецСМУ"</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2004</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ЗАО "ЭталонПроект"</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2005</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ЗАО "ЭталонПромстрой"</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2005</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2012</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ОАО "Энергогарант"</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2005</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533646" w:rsidP="00B972FD">
            <w:pPr>
              <w:rPr>
                <w:rFonts w:ascii="Arial" w:eastAsiaTheme="minorEastAsia" w:hAnsi="Arial" w:cs="Arial"/>
                <w:b/>
                <w:i/>
              </w:rPr>
            </w:pPr>
            <w:r>
              <w:rPr>
                <w:rFonts w:ascii="Arial" w:eastAsiaTheme="minorEastAsia" w:hAnsi="Arial" w:cs="Arial"/>
                <w:b/>
                <w:i/>
              </w:rPr>
              <w:t>2015</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ЗАО "ЭталонСтрой-РиО"</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2005</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2012</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ЗАО "РАН"</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2007</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2012</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ЗАО "Эталон-Вест"</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2007</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ЗАО "Электронстрой"</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2007</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2012</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ЗАО "Сервис-Недвижимость"</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2007</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2011</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ЗАО "ЛС-Риэлти"</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2008</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ЗАО "СУ-267"</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Наблюдательного совета</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2009</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2012</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ОАО "Эталон-Инвест"</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2010</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ООО "СПМ-жилстрой"</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2009</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ЗАО "ЗАТОНСКОЕ"</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2010</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ЗАО "СервисГараж"</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2010</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ЗАО "ЦУН"</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2010</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ООО "Волна-Инвест"</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Генеральный директор</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2010</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ООО "Нева-Инвест"</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Генеральный директор</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2010</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ООО "Группа Компаний "Эталон"</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Генеральный директор</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2011</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2013</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ЗАО "ЛС-Риэлти"</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Генеральный директор, 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2011</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2012</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ООО "Эталон-Инвест"</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ЗАО "Управляющая компания "Эталон"</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Генеральный директор</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ОАО "Эталон-Инвест"</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ЗАО «Сервис-Недвижимость»</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ООО "Эталон-Инвест"</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2013</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ОАО "Технологическое оснащение"</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2013</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ООО "УМ "Эталон"</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2011</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ООО "Управление и эксплуатация недвижимости "Эталон"</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2011</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2015</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ООО "Энергетическая компания "Изумрудные холмы"</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2011</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ООО "Котельная"</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ООО "ЭТН"</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2013</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ООО "Эталон-Прогресс"</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2013</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533646" w:rsidP="00B972FD">
            <w:pPr>
              <w:rPr>
                <w:rFonts w:ascii="Arial" w:eastAsiaTheme="minorEastAsia" w:hAnsi="Arial" w:cs="Arial"/>
                <w:b/>
                <w:i/>
              </w:rPr>
            </w:pPr>
            <w:r>
              <w:rPr>
                <w:rFonts w:ascii="Arial" w:eastAsiaTheme="minorEastAsia" w:hAnsi="Arial" w:cs="Arial"/>
                <w:b/>
                <w:i/>
              </w:rPr>
              <w:t>2016</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ООО "Эталон-Строй"</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2013</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ЗАО "ЛС-Риэлти"</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ООО "Торговая палата"</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Генеральный директор</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ЗАО "ГК "Эталон"</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ЗАО "ГК "Эталон"</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Генеральный директор</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ОАО "Летний сад"</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ООО "ЭталонПроект"</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ООО "СПМ-жилстрой"</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ООО "ЛенСпецСМУ-Комфорт"</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2015</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ООО "ЭталонАктив"</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2015</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ООО "СМУ "Электронстрой-Эталон"</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2015</w:t>
            </w:r>
          </w:p>
        </w:tc>
        <w:tc>
          <w:tcPr>
            <w:tcW w:w="126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ООО "НТЦ "Эталон"</w:t>
            </w:r>
          </w:p>
        </w:tc>
        <w:tc>
          <w:tcPr>
            <w:tcW w:w="2680" w:type="dxa"/>
            <w:tcBorders>
              <w:top w:val="single" w:sz="6" w:space="0" w:color="auto"/>
              <w:left w:val="single" w:sz="6" w:space="0" w:color="auto"/>
              <w:bottom w:val="sing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doub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2015</w:t>
            </w:r>
          </w:p>
        </w:tc>
        <w:tc>
          <w:tcPr>
            <w:tcW w:w="1260" w:type="dxa"/>
            <w:tcBorders>
              <w:top w:val="single" w:sz="6" w:space="0" w:color="auto"/>
              <w:left w:val="single" w:sz="6" w:space="0" w:color="auto"/>
              <w:bottom w:val="double" w:sz="6" w:space="0" w:color="auto"/>
              <w:right w:val="single" w:sz="6" w:space="0" w:color="auto"/>
            </w:tcBorders>
          </w:tcPr>
          <w:p w:rsidR="00434272" w:rsidRPr="002C4BBF" w:rsidRDefault="00434272" w:rsidP="00B972FD">
            <w:pPr>
              <w:rPr>
                <w:rFonts w:ascii="Arial" w:eastAsiaTheme="minorEastAsia" w:hAnsi="Arial" w:cs="Arial"/>
                <w:b/>
                <w:i/>
              </w:rPr>
            </w:pPr>
            <w:r w:rsidRPr="002C4BBF">
              <w:rPr>
                <w:rFonts w:ascii="Arial" w:eastAsiaTheme="minorEastAsia" w:hAnsi="Arial" w:cs="Arial"/>
                <w:b/>
                <w:i/>
              </w:rPr>
              <w:t>настоящее время</w:t>
            </w:r>
          </w:p>
        </w:tc>
        <w:tc>
          <w:tcPr>
            <w:tcW w:w="3980" w:type="dxa"/>
            <w:tcBorders>
              <w:top w:val="single" w:sz="6" w:space="0" w:color="auto"/>
              <w:left w:val="single" w:sz="6" w:space="0" w:color="auto"/>
              <w:bottom w:val="double" w:sz="6" w:space="0" w:color="auto"/>
              <w:right w:val="sing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ООО "Торговый дом "Эталон-Инвест"</w:t>
            </w:r>
          </w:p>
        </w:tc>
        <w:tc>
          <w:tcPr>
            <w:tcW w:w="2680" w:type="dxa"/>
            <w:tcBorders>
              <w:top w:val="single" w:sz="6" w:space="0" w:color="auto"/>
              <w:left w:val="single" w:sz="6" w:space="0" w:color="auto"/>
              <w:bottom w:val="double" w:sz="6" w:space="0" w:color="auto"/>
              <w:right w:val="double" w:sz="6" w:space="0" w:color="auto"/>
            </w:tcBorders>
          </w:tcPr>
          <w:p w:rsidR="00434272" w:rsidRPr="002C4BBF" w:rsidRDefault="00434272" w:rsidP="00B972FD">
            <w:pPr>
              <w:jc w:val="both"/>
              <w:rPr>
                <w:rFonts w:ascii="Arial" w:eastAsiaTheme="minorEastAsia" w:hAnsi="Arial" w:cs="Arial"/>
                <w:b/>
                <w:i/>
              </w:rPr>
            </w:pPr>
            <w:r w:rsidRPr="002C4BBF">
              <w:rPr>
                <w:rFonts w:ascii="Arial" w:eastAsiaTheme="minorEastAsia" w:hAnsi="Arial" w:cs="Arial"/>
                <w:b/>
                <w:i/>
              </w:rPr>
              <w:t>член Совета директоров</w:t>
            </w:r>
          </w:p>
        </w:tc>
      </w:tr>
    </w:tbl>
    <w:p w:rsidR="00434272" w:rsidRDefault="00434272" w:rsidP="00434272">
      <w:pPr>
        <w:pStyle w:val="ThinDelim"/>
        <w:jc w:val="both"/>
        <w:rPr>
          <w:rFonts w:eastAsiaTheme="minorEastAsia"/>
          <w:szCs w:val="20"/>
        </w:rPr>
      </w:pPr>
    </w:p>
    <w:p w:rsidR="00434272" w:rsidRPr="0020025F" w:rsidRDefault="00434272" w:rsidP="00434272">
      <w:pPr>
        <w:pStyle w:val="ConsPlusNormal"/>
        <w:ind w:firstLine="540"/>
        <w:jc w:val="both"/>
        <w:rPr>
          <w:b/>
          <w:i/>
        </w:rPr>
      </w:pPr>
      <w:r>
        <w:rPr>
          <w:rFonts w:ascii="Times New Roman" w:hAnsi="Times New Roman" w:cs="Times New Roman"/>
        </w:rPr>
        <w:t xml:space="preserve">доля участия такого лица в уставном капитале эмитента, являющегося коммерческой организацией: </w:t>
      </w:r>
      <w:r w:rsidRPr="0020025F">
        <w:rPr>
          <w:b/>
          <w:i/>
        </w:rPr>
        <w:t>доли не имеет</w:t>
      </w:r>
    </w:p>
    <w:p w:rsidR="00434272" w:rsidRDefault="00434272" w:rsidP="00434272">
      <w:pPr>
        <w:pStyle w:val="ConsPlusNormal"/>
        <w:ind w:firstLine="540"/>
        <w:jc w:val="both"/>
        <w:rPr>
          <w:rFonts w:ascii="Times New Roman" w:hAnsi="Times New Roman" w:cs="Times New Roman"/>
        </w:rPr>
      </w:pPr>
      <w:r>
        <w:rPr>
          <w:rFonts w:ascii="Times New Roman" w:hAnsi="Times New Roman" w:cs="Times New Roman"/>
        </w:rPr>
        <w:t>доля принадлежащих такому лицу обыкновенных акций эмитента:</w:t>
      </w:r>
      <w:r w:rsidRPr="003E1D7E">
        <w:rPr>
          <w:b/>
          <w:i/>
        </w:rPr>
        <w:t xml:space="preserve"> </w:t>
      </w:r>
      <w:r w:rsidRPr="0020025F">
        <w:rPr>
          <w:b/>
          <w:i/>
        </w:rPr>
        <w:t>доли не имеет</w:t>
      </w:r>
    </w:p>
    <w:p w:rsidR="00434272" w:rsidRPr="003E1D7E" w:rsidRDefault="00434272" w:rsidP="00434272">
      <w:pPr>
        <w:pStyle w:val="ConsPlusNormal"/>
        <w:ind w:firstLine="540"/>
        <w:jc w:val="both"/>
        <w:rPr>
          <w:b/>
          <w:i/>
        </w:rPr>
      </w:pPr>
      <w:r>
        <w:rPr>
          <w:rFonts w:ascii="Times New Roman" w:hAnsi="Times New Roman" w:cs="Times New Roman"/>
        </w:rPr>
        <w:t xml:space="preserve">количество акций эмитента каждой категории (типа), которые могут быть приобретены таким лицом в результате осуществления прав по принадлежащим ему опционам эмитента: </w:t>
      </w:r>
      <w:r w:rsidRPr="003E1D7E">
        <w:rPr>
          <w:b/>
          <w:i/>
        </w:rPr>
        <w:t>0 штук</w:t>
      </w:r>
    </w:p>
    <w:p w:rsidR="00434272" w:rsidRDefault="00434272" w:rsidP="00434272">
      <w:pPr>
        <w:pStyle w:val="ConsPlusNormal"/>
        <w:ind w:firstLine="540"/>
        <w:jc w:val="both"/>
        <w:rPr>
          <w:rFonts w:ascii="Times New Roman" w:hAnsi="Times New Roman" w:cs="Times New Roman"/>
        </w:rPr>
      </w:pPr>
      <w:r>
        <w:rPr>
          <w:rFonts w:ascii="Times New Roman" w:hAnsi="Times New Roman" w:cs="Times New Roman"/>
        </w:rPr>
        <w:t xml:space="preserve">доля участия такого лица в уставном капитале дочерних и зависимых обществ эмитента: </w:t>
      </w:r>
      <w:r w:rsidRPr="0020025F">
        <w:rPr>
          <w:b/>
          <w:i/>
        </w:rPr>
        <w:t>доли не имеет</w:t>
      </w:r>
    </w:p>
    <w:p w:rsidR="00434272" w:rsidRDefault="00434272" w:rsidP="00434272">
      <w:pPr>
        <w:pStyle w:val="ConsPlusNormal"/>
        <w:ind w:firstLine="540"/>
        <w:jc w:val="both"/>
        <w:rPr>
          <w:rFonts w:ascii="Times New Roman" w:hAnsi="Times New Roman" w:cs="Times New Roman"/>
        </w:rPr>
      </w:pPr>
      <w:r>
        <w:rPr>
          <w:rFonts w:ascii="Times New Roman" w:hAnsi="Times New Roman" w:cs="Times New Roman"/>
        </w:rPr>
        <w:t xml:space="preserve">доля принадлежащих такому лицу обыкновенных акций дочернего или зависимого общества эмитента и количества акций дочернего или зависимого общества эмитента каждой категории (типа), которые могут быть приобретены таким лицом в результате осуществления прав по принадлежащим ему опционам дочернего или зависимого общества эмитента: </w:t>
      </w:r>
      <w:r w:rsidRPr="0020025F">
        <w:rPr>
          <w:b/>
          <w:i/>
        </w:rPr>
        <w:t>доли не имеет</w:t>
      </w:r>
    </w:p>
    <w:p w:rsidR="00434272" w:rsidRPr="0020025F" w:rsidRDefault="00434272" w:rsidP="00434272">
      <w:pPr>
        <w:ind w:firstLine="540"/>
        <w:jc w:val="both"/>
        <w:rPr>
          <w:rFonts w:ascii="Arial" w:eastAsiaTheme="minorHAnsi" w:hAnsi="Arial" w:cs="Arial"/>
          <w:b/>
          <w:i/>
          <w:lang w:eastAsia="en-US"/>
        </w:rPr>
      </w:pPr>
      <w:r>
        <w:t xml:space="preserve">характер любых родственных связей с лицами, входящими в состав органов управления эмитента и (или) органов контроля за финансово-хозяйственной деятельностью эмитента: </w:t>
      </w:r>
      <w:r w:rsidRPr="0020025F">
        <w:rPr>
          <w:rFonts w:ascii="Arial" w:eastAsiaTheme="minorHAnsi" w:hAnsi="Arial" w:cs="Arial"/>
          <w:b/>
          <w:i/>
          <w:lang w:eastAsia="en-US"/>
        </w:rPr>
        <w:t>Указанных родственных связей нет</w:t>
      </w:r>
    </w:p>
    <w:p w:rsidR="00434272" w:rsidRPr="0020025F" w:rsidRDefault="00434272" w:rsidP="00434272">
      <w:pPr>
        <w:ind w:firstLine="540"/>
        <w:jc w:val="both"/>
        <w:rPr>
          <w:rFonts w:ascii="Arial" w:eastAsiaTheme="minorHAnsi" w:hAnsi="Arial" w:cs="Arial"/>
          <w:b/>
          <w:i/>
          <w:lang w:eastAsia="en-US"/>
        </w:rPr>
      </w:pPr>
      <w:r>
        <w:t xml:space="preserve">сведения о привлечении к административной ответственности за правонарушения в области финансов, налогов и сборов, рынка ценных бумаг или уголовной ответственности (наличии судимости) за преступления в сфере экономики и (или) за преступления против государственной власти: </w:t>
      </w:r>
      <w:r w:rsidRPr="0020025F">
        <w:rPr>
          <w:rFonts w:ascii="Arial" w:eastAsiaTheme="minorHAnsi" w:hAnsi="Arial" w:cs="Arial"/>
          <w:b/>
          <w:i/>
          <w:lang w:eastAsia="en-US"/>
        </w:rPr>
        <w:t>Лицо к указанным видам ответственности не привлекалось</w:t>
      </w:r>
    </w:p>
    <w:p w:rsidR="00434272" w:rsidRDefault="00434272" w:rsidP="00434272">
      <w:pPr>
        <w:ind w:firstLine="540"/>
        <w:jc w:val="both"/>
        <w:rPr>
          <w:rFonts w:eastAsiaTheme="minorEastAsia"/>
        </w:rPr>
      </w:pPr>
      <w:r>
        <w:t xml:space="preserve">сведения о занятии должностей в органах управления коммерческих организаций в период, когда в отношении указанных организаций было возбуждено дело о банкротстве и (или) введена одна из процедур банкротства, предусмотренных законодательством Российской Федерации о несостоятельности (банкротстве): </w:t>
      </w:r>
      <w:r w:rsidRPr="0020025F">
        <w:rPr>
          <w:rFonts w:ascii="Arial" w:eastAsiaTheme="minorHAnsi" w:hAnsi="Arial" w:cs="Arial"/>
          <w:b/>
          <w:i/>
          <w:lang w:eastAsia="en-US"/>
        </w:rPr>
        <w:t>Лицо указанных должностей не занимало</w:t>
      </w:r>
    </w:p>
    <w:p w:rsidR="00434272" w:rsidRDefault="00434272" w:rsidP="00434272">
      <w:pPr>
        <w:pStyle w:val="ConsPlusNormal"/>
        <w:ind w:firstLine="540"/>
        <w:jc w:val="both"/>
        <w:rPr>
          <w:rFonts w:ascii="Times New Roman" w:hAnsi="Times New Roman" w:cs="Times New Roman"/>
        </w:rPr>
      </w:pPr>
      <w:r>
        <w:rPr>
          <w:rFonts w:ascii="Times New Roman" w:hAnsi="Times New Roman" w:cs="Times New Roman"/>
        </w:rPr>
        <w:t xml:space="preserve">По каждому члену совета директоров (наблюдательного совета) эмитента дополнительно указываются сведения об участии (член комитета, председатель комитета) в работе комитетов совета директоров (наблюдательного совета) с указанием названия комитета (комитетов): </w:t>
      </w:r>
      <w:r>
        <w:rPr>
          <w:b/>
          <w:i/>
        </w:rPr>
        <w:t>член К</w:t>
      </w:r>
      <w:r w:rsidRPr="00DA5D00">
        <w:rPr>
          <w:b/>
          <w:i/>
        </w:rPr>
        <w:t>омитета по аудит</w:t>
      </w:r>
      <w:r>
        <w:rPr>
          <w:b/>
          <w:i/>
        </w:rPr>
        <w:t>у</w:t>
      </w:r>
    </w:p>
    <w:p w:rsidR="00434272" w:rsidRDefault="00434272" w:rsidP="00434272">
      <w:pPr>
        <w:pStyle w:val="ConsPlusNormal"/>
        <w:ind w:firstLine="540"/>
        <w:jc w:val="both"/>
        <w:rPr>
          <w:rFonts w:ascii="Times New Roman" w:hAnsi="Times New Roman" w:cs="Times New Roman"/>
        </w:rPr>
      </w:pPr>
      <w:r>
        <w:rPr>
          <w:rFonts w:ascii="Times New Roman" w:hAnsi="Times New Roman" w:cs="Times New Roman"/>
        </w:rPr>
        <w:t xml:space="preserve">Приводятся также сведения о членах совета директоров (наблюдательного совета), которых эмитент считает независимыми: </w:t>
      </w:r>
      <w:r>
        <w:rPr>
          <w:b/>
          <w:bCs/>
          <w:i/>
          <w:iCs/>
        </w:rPr>
        <w:t>не является независимым директором</w:t>
      </w:r>
    </w:p>
    <w:p w:rsidR="00434272" w:rsidRDefault="00434272" w:rsidP="00434272">
      <w:pPr>
        <w:pStyle w:val="ConsPlusNormal"/>
        <w:ind w:firstLine="540"/>
        <w:jc w:val="both"/>
        <w:rPr>
          <w:rFonts w:ascii="Times New Roman" w:hAnsi="Times New Roman" w:cs="Times New Roman"/>
        </w:rPr>
      </w:pPr>
    </w:p>
    <w:p w:rsidR="00434272" w:rsidRDefault="00434272" w:rsidP="00434272">
      <w:pPr>
        <w:ind w:firstLine="567"/>
        <w:jc w:val="both"/>
        <w:rPr>
          <w:rFonts w:eastAsiaTheme="minorEastAsia"/>
        </w:rPr>
      </w:pPr>
      <w:r>
        <w:t>2. фамилия, имя, отчество:</w:t>
      </w:r>
      <w:r w:rsidRPr="009D1CD4">
        <w:rPr>
          <w:rFonts w:eastAsiaTheme="minorEastAsia"/>
        </w:rPr>
        <w:t xml:space="preserve"> </w:t>
      </w:r>
      <w:r w:rsidRPr="00156DA2">
        <w:rPr>
          <w:rFonts w:ascii="Arial" w:eastAsiaTheme="minorHAnsi" w:hAnsi="Arial" w:cs="Arial"/>
          <w:b/>
          <w:bCs/>
          <w:i/>
          <w:iCs/>
          <w:lang w:eastAsia="en-US"/>
        </w:rPr>
        <w:t>Заренков Дмитрий Вячеславович (председатель)</w:t>
      </w:r>
    </w:p>
    <w:p w:rsidR="00434272" w:rsidRDefault="00434272" w:rsidP="00434272">
      <w:pPr>
        <w:pStyle w:val="ConsPlusNormal"/>
        <w:ind w:firstLine="567"/>
        <w:jc w:val="both"/>
        <w:rPr>
          <w:rFonts w:ascii="Times New Roman" w:hAnsi="Times New Roman" w:cs="Times New Roman"/>
        </w:rPr>
      </w:pPr>
      <w:r>
        <w:rPr>
          <w:rFonts w:ascii="Times New Roman" w:hAnsi="Times New Roman" w:cs="Times New Roman"/>
        </w:rPr>
        <w:t xml:space="preserve">год рождения: </w:t>
      </w:r>
      <w:r>
        <w:rPr>
          <w:b/>
          <w:bCs/>
          <w:i/>
          <w:iCs/>
        </w:rPr>
        <w:t>1973</w:t>
      </w:r>
    </w:p>
    <w:p w:rsidR="00434272" w:rsidRDefault="00434272" w:rsidP="00434272">
      <w:pPr>
        <w:pStyle w:val="ConsPlusNormal"/>
        <w:ind w:firstLine="567"/>
        <w:jc w:val="both"/>
        <w:rPr>
          <w:rFonts w:ascii="Times New Roman" w:hAnsi="Times New Roman" w:cs="Times New Roman"/>
        </w:rPr>
      </w:pPr>
      <w:r>
        <w:rPr>
          <w:rFonts w:ascii="Times New Roman" w:hAnsi="Times New Roman" w:cs="Times New Roman"/>
        </w:rPr>
        <w:t>сведения об образовании:</w:t>
      </w:r>
    </w:p>
    <w:p w:rsidR="00434272" w:rsidRDefault="00434272" w:rsidP="00434272">
      <w:pPr>
        <w:ind w:firstLine="567"/>
        <w:jc w:val="both"/>
        <w:rPr>
          <w:rFonts w:ascii="Arial" w:eastAsiaTheme="minorHAnsi" w:hAnsi="Arial" w:cs="Arial"/>
          <w:b/>
          <w:bCs/>
          <w:i/>
          <w:iCs/>
          <w:lang w:eastAsia="en-US"/>
        </w:rPr>
      </w:pPr>
      <w:r w:rsidRPr="00156DA2">
        <w:rPr>
          <w:rFonts w:ascii="Arial" w:eastAsiaTheme="minorHAnsi" w:hAnsi="Arial" w:cs="Arial"/>
          <w:b/>
          <w:bCs/>
          <w:i/>
          <w:iCs/>
          <w:lang w:eastAsia="en-US"/>
        </w:rPr>
        <w:t>1. высшее профессиональное, Ленинградский институт авиационного приборостроения, инженер-исследователь;</w:t>
      </w:r>
    </w:p>
    <w:p w:rsidR="00434272" w:rsidRDefault="00434272" w:rsidP="00434272">
      <w:pPr>
        <w:ind w:firstLine="567"/>
        <w:jc w:val="both"/>
        <w:rPr>
          <w:rFonts w:ascii="Arial" w:eastAsiaTheme="minorHAnsi" w:hAnsi="Arial" w:cs="Arial"/>
          <w:b/>
          <w:bCs/>
          <w:i/>
          <w:iCs/>
          <w:lang w:eastAsia="en-US"/>
        </w:rPr>
      </w:pPr>
      <w:r w:rsidRPr="00156DA2">
        <w:rPr>
          <w:rFonts w:ascii="Arial" w:eastAsiaTheme="minorHAnsi" w:hAnsi="Arial" w:cs="Arial"/>
          <w:b/>
          <w:bCs/>
          <w:i/>
          <w:iCs/>
          <w:lang w:eastAsia="en-US"/>
        </w:rPr>
        <w:t>2. высшее профессиональное, Санкт-Петербургский университет МВД России, юрист;</w:t>
      </w:r>
    </w:p>
    <w:p w:rsidR="00434272" w:rsidRPr="00156DA2" w:rsidRDefault="00434272" w:rsidP="00434272">
      <w:pPr>
        <w:ind w:firstLine="567"/>
        <w:jc w:val="both"/>
        <w:rPr>
          <w:rFonts w:ascii="Arial" w:eastAsiaTheme="minorHAnsi" w:hAnsi="Arial" w:cs="Arial"/>
          <w:b/>
          <w:bCs/>
          <w:i/>
          <w:iCs/>
          <w:lang w:eastAsia="en-US"/>
        </w:rPr>
      </w:pPr>
      <w:r w:rsidRPr="00156DA2">
        <w:rPr>
          <w:rFonts w:ascii="Arial" w:eastAsiaTheme="minorHAnsi" w:hAnsi="Arial" w:cs="Arial"/>
          <w:b/>
          <w:bCs/>
          <w:i/>
          <w:iCs/>
          <w:lang w:eastAsia="en-US"/>
        </w:rPr>
        <w:t>3. высшее профессиональное, Санкт-Петербургский Государственный архитектурно-строительный университет, инженер.</w:t>
      </w:r>
    </w:p>
    <w:p w:rsidR="00434272" w:rsidRDefault="00434272" w:rsidP="00434272">
      <w:pPr>
        <w:pStyle w:val="ConsPlusNormal"/>
        <w:ind w:firstLine="567"/>
        <w:jc w:val="both"/>
        <w:rPr>
          <w:rFonts w:ascii="Times New Roman" w:hAnsi="Times New Roman" w:cs="Times New Roman"/>
        </w:rPr>
      </w:pPr>
      <w:r>
        <w:rPr>
          <w:rFonts w:ascii="Times New Roman" w:hAnsi="Times New Roman" w:cs="Times New Roman"/>
        </w:rPr>
        <w:t>все должности, занимаемые таким лицом в эмитенте и других организациях за последние пять лет и в настоящее время в хронологическом порядке, в том числе по совместительству:</w:t>
      </w:r>
    </w:p>
    <w:p w:rsidR="00434272" w:rsidRDefault="00434272" w:rsidP="00434272">
      <w:pPr>
        <w:pStyle w:val="ThinDelim"/>
        <w:ind w:firstLine="567"/>
        <w:jc w:val="both"/>
        <w:rPr>
          <w:rFonts w:eastAsiaTheme="minorEastAsia"/>
          <w:szCs w:val="20"/>
        </w:rPr>
      </w:pPr>
    </w:p>
    <w:tbl>
      <w:tblPr>
        <w:tblW w:w="0" w:type="auto"/>
        <w:tblLayout w:type="fixed"/>
        <w:tblCellMar>
          <w:left w:w="72" w:type="dxa"/>
          <w:right w:w="72" w:type="dxa"/>
        </w:tblCellMar>
        <w:tblLook w:val="0000" w:firstRow="0" w:lastRow="0" w:firstColumn="0" w:lastColumn="0" w:noHBand="0" w:noVBand="0"/>
      </w:tblPr>
      <w:tblGrid>
        <w:gridCol w:w="1332"/>
        <w:gridCol w:w="1260"/>
        <w:gridCol w:w="3980"/>
        <w:gridCol w:w="2680"/>
      </w:tblGrid>
      <w:tr w:rsidR="00434272" w:rsidRPr="00156DA2" w:rsidTr="00B972FD">
        <w:tc>
          <w:tcPr>
            <w:tcW w:w="2592" w:type="dxa"/>
            <w:gridSpan w:val="2"/>
            <w:tcBorders>
              <w:top w:val="double" w:sz="6" w:space="0" w:color="auto"/>
              <w:left w:val="double" w:sz="6" w:space="0" w:color="auto"/>
              <w:bottom w:val="single" w:sz="6" w:space="0" w:color="auto"/>
              <w:right w:val="single" w:sz="6" w:space="0" w:color="auto"/>
            </w:tcBorders>
          </w:tcPr>
          <w:p w:rsidR="00434272" w:rsidRPr="00156DA2" w:rsidRDefault="00434272" w:rsidP="00023C16">
            <w:pPr>
              <w:jc w:val="center"/>
              <w:rPr>
                <w:rFonts w:ascii="Arial" w:eastAsiaTheme="minorEastAsia" w:hAnsi="Arial" w:cs="Arial"/>
                <w:b/>
                <w:i/>
              </w:rPr>
            </w:pPr>
            <w:r w:rsidRPr="00156DA2">
              <w:rPr>
                <w:rFonts w:ascii="Arial" w:eastAsiaTheme="minorEastAsia" w:hAnsi="Arial" w:cs="Arial"/>
                <w:b/>
                <w:i/>
              </w:rPr>
              <w:t>Период</w:t>
            </w:r>
          </w:p>
        </w:tc>
        <w:tc>
          <w:tcPr>
            <w:tcW w:w="3980" w:type="dxa"/>
            <w:tcBorders>
              <w:top w:val="double" w:sz="6" w:space="0" w:color="auto"/>
              <w:left w:val="single" w:sz="6" w:space="0" w:color="auto"/>
              <w:bottom w:val="single" w:sz="6" w:space="0" w:color="auto"/>
              <w:right w:val="single" w:sz="6" w:space="0" w:color="auto"/>
            </w:tcBorders>
          </w:tcPr>
          <w:p w:rsidR="00434272" w:rsidRPr="00156DA2" w:rsidRDefault="00434272" w:rsidP="00023C16">
            <w:pPr>
              <w:jc w:val="center"/>
              <w:rPr>
                <w:rFonts w:ascii="Arial" w:eastAsiaTheme="minorEastAsia" w:hAnsi="Arial" w:cs="Arial"/>
                <w:b/>
                <w:i/>
              </w:rPr>
            </w:pPr>
            <w:r w:rsidRPr="00156DA2">
              <w:rPr>
                <w:rFonts w:ascii="Arial" w:eastAsiaTheme="minorEastAsia" w:hAnsi="Arial" w:cs="Arial"/>
                <w:b/>
                <w:i/>
              </w:rPr>
              <w:t>Наименование организации</w:t>
            </w:r>
          </w:p>
        </w:tc>
        <w:tc>
          <w:tcPr>
            <w:tcW w:w="2680" w:type="dxa"/>
            <w:tcBorders>
              <w:top w:val="double" w:sz="6" w:space="0" w:color="auto"/>
              <w:left w:val="single" w:sz="6" w:space="0" w:color="auto"/>
              <w:bottom w:val="single" w:sz="6" w:space="0" w:color="auto"/>
              <w:right w:val="double" w:sz="6" w:space="0" w:color="auto"/>
            </w:tcBorders>
          </w:tcPr>
          <w:p w:rsidR="00434272" w:rsidRPr="00156DA2" w:rsidRDefault="00434272" w:rsidP="00023C16">
            <w:pPr>
              <w:jc w:val="center"/>
              <w:rPr>
                <w:rFonts w:ascii="Arial" w:eastAsiaTheme="minorEastAsia" w:hAnsi="Arial" w:cs="Arial"/>
                <w:b/>
                <w:i/>
              </w:rPr>
            </w:pPr>
            <w:r w:rsidRPr="00156DA2">
              <w:rPr>
                <w:rFonts w:ascii="Arial" w:eastAsiaTheme="minorEastAsia" w:hAnsi="Arial" w:cs="Arial"/>
                <w:b/>
                <w:i/>
              </w:rPr>
              <w:t>Должность</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jc w:val="center"/>
              <w:rPr>
                <w:rFonts w:ascii="Arial" w:eastAsiaTheme="minorEastAsia" w:hAnsi="Arial" w:cs="Arial"/>
                <w:b/>
                <w:i/>
              </w:rPr>
            </w:pPr>
            <w:r w:rsidRPr="00156DA2">
              <w:rPr>
                <w:rFonts w:ascii="Arial" w:eastAsiaTheme="minorEastAsia" w:hAnsi="Arial" w:cs="Arial"/>
                <w:b/>
                <w:i/>
              </w:rPr>
              <w:t>с</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center"/>
              <w:rPr>
                <w:rFonts w:ascii="Arial" w:eastAsiaTheme="minorEastAsia" w:hAnsi="Arial" w:cs="Arial"/>
                <w:b/>
                <w:i/>
              </w:rPr>
            </w:pPr>
            <w:r w:rsidRPr="00156DA2">
              <w:rPr>
                <w:rFonts w:ascii="Arial" w:eastAsiaTheme="minorEastAsia" w:hAnsi="Arial" w:cs="Arial"/>
                <w:b/>
                <w:i/>
              </w:rPr>
              <w:t>по</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2001</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ЗАО "ЗСМ "Эталон"</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член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2001</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ОАО "СМУ "Электронстрой"</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член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2001</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ЗАО "СПб МФТЦ"</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член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2001</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ЗАО "Новатор"</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член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2002</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2013</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ЗАО "РемЭкс"</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член Совета директоров</w:t>
            </w:r>
          </w:p>
        </w:tc>
      </w:tr>
      <w:tr w:rsidR="00E66E98" w:rsidRPr="00156DA2" w:rsidTr="00B972FD">
        <w:tc>
          <w:tcPr>
            <w:tcW w:w="1332" w:type="dxa"/>
            <w:tcBorders>
              <w:top w:val="single" w:sz="6" w:space="0" w:color="auto"/>
              <w:left w:val="double" w:sz="6" w:space="0" w:color="auto"/>
              <w:bottom w:val="single" w:sz="6" w:space="0" w:color="auto"/>
              <w:right w:val="single" w:sz="6" w:space="0" w:color="auto"/>
            </w:tcBorders>
          </w:tcPr>
          <w:p w:rsidR="00E66E98" w:rsidRPr="00E66E98" w:rsidRDefault="00E66E98" w:rsidP="00023C16">
            <w:pPr>
              <w:rPr>
                <w:rFonts w:ascii="Arial" w:eastAsiaTheme="minorEastAsia" w:hAnsi="Arial" w:cs="Arial"/>
                <w:b/>
                <w:i/>
              </w:rPr>
            </w:pPr>
            <w:r>
              <w:rPr>
                <w:rFonts w:ascii="Arial" w:eastAsiaTheme="minorEastAsia" w:hAnsi="Arial" w:cs="Arial"/>
                <w:b/>
                <w:i/>
                <w:lang w:val="en-US"/>
              </w:rPr>
              <w:t>2</w:t>
            </w:r>
            <w:r>
              <w:rPr>
                <w:rFonts w:ascii="Arial" w:eastAsiaTheme="minorEastAsia" w:hAnsi="Arial" w:cs="Arial"/>
                <w:b/>
                <w:i/>
              </w:rPr>
              <w:t>003</w:t>
            </w:r>
          </w:p>
        </w:tc>
        <w:tc>
          <w:tcPr>
            <w:tcW w:w="1260" w:type="dxa"/>
            <w:tcBorders>
              <w:top w:val="single" w:sz="6" w:space="0" w:color="auto"/>
              <w:left w:val="single" w:sz="6" w:space="0" w:color="auto"/>
              <w:bottom w:val="single" w:sz="6" w:space="0" w:color="auto"/>
              <w:right w:val="single" w:sz="6" w:space="0" w:color="auto"/>
            </w:tcBorders>
          </w:tcPr>
          <w:p w:rsidR="00E66E98" w:rsidRPr="00156DA2" w:rsidRDefault="00E66E98" w:rsidP="00023C16">
            <w:pPr>
              <w:rPr>
                <w:rFonts w:ascii="Arial" w:eastAsiaTheme="minorEastAsia" w:hAnsi="Arial" w:cs="Arial"/>
                <w:b/>
                <w:i/>
              </w:rPr>
            </w:pPr>
            <w:r>
              <w:rPr>
                <w:rFonts w:ascii="Arial" w:eastAsiaTheme="minorEastAsia" w:hAnsi="Arial" w:cs="Arial"/>
                <w:b/>
                <w:i/>
              </w:rPr>
              <w:t>2015</w:t>
            </w:r>
          </w:p>
        </w:tc>
        <w:tc>
          <w:tcPr>
            <w:tcW w:w="3980" w:type="dxa"/>
            <w:tcBorders>
              <w:top w:val="single" w:sz="6" w:space="0" w:color="auto"/>
              <w:left w:val="single" w:sz="6" w:space="0" w:color="auto"/>
              <w:bottom w:val="single" w:sz="6" w:space="0" w:color="auto"/>
              <w:right w:val="single" w:sz="6" w:space="0" w:color="auto"/>
            </w:tcBorders>
          </w:tcPr>
          <w:p w:rsidR="00E66E98" w:rsidRPr="00156DA2" w:rsidRDefault="00E66E98" w:rsidP="00023C16">
            <w:pPr>
              <w:jc w:val="both"/>
              <w:rPr>
                <w:rFonts w:ascii="Arial" w:eastAsiaTheme="minorEastAsia" w:hAnsi="Arial" w:cs="Arial"/>
                <w:b/>
                <w:i/>
              </w:rPr>
            </w:pPr>
            <w:r w:rsidRPr="00F8041C">
              <w:rPr>
                <w:rFonts w:ascii="Arial" w:eastAsiaTheme="minorEastAsia" w:hAnsi="Arial" w:cs="Arial"/>
                <w:b/>
                <w:i/>
              </w:rPr>
              <w:t>ЗАО "ЦУН"</w:t>
            </w:r>
          </w:p>
        </w:tc>
        <w:tc>
          <w:tcPr>
            <w:tcW w:w="2680" w:type="dxa"/>
            <w:tcBorders>
              <w:top w:val="single" w:sz="6" w:space="0" w:color="auto"/>
              <w:left w:val="single" w:sz="6" w:space="0" w:color="auto"/>
              <w:bottom w:val="single" w:sz="6" w:space="0" w:color="auto"/>
              <w:right w:val="double" w:sz="6" w:space="0" w:color="auto"/>
            </w:tcBorders>
          </w:tcPr>
          <w:p w:rsidR="00E66E98" w:rsidRPr="00156DA2" w:rsidRDefault="00E66E98" w:rsidP="00E66E98">
            <w:pPr>
              <w:jc w:val="both"/>
              <w:rPr>
                <w:rFonts w:ascii="Arial" w:eastAsiaTheme="minorEastAsia" w:hAnsi="Arial" w:cs="Arial"/>
                <w:b/>
                <w:i/>
              </w:rPr>
            </w:pPr>
            <w:r w:rsidRPr="00F8041C">
              <w:rPr>
                <w:rFonts w:ascii="Arial" w:eastAsiaTheme="minorEastAsia" w:hAnsi="Arial" w:cs="Arial"/>
                <w:b/>
                <w:i/>
              </w:rPr>
              <w:t>Зам</w:t>
            </w:r>
            <w:r>
              <w:rPr>
                <w:rFonts w:ascii="Arial" w:eastAsiaTheme="minorEastAsia" w:hAnsi="Arial" w:cs="Arial"/>
                <w:b/>
                <w:i/>
              </w:rPr>
              <w:t>еститель генерального директора</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2002</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ЗАО "ЦУН"</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E66E98">
            <w:pPr>
              <w:jc w:val="both"/>
              <w:rPr>
                <w:rFonts w:ascii="Arial" w:eastAsiaTheme="minorEastAsia" w:hAnsi="Arial" w:cs="Arial"/>
                <w:b/>
                <w:i/>
              </w:rPr>
            </w:pPr>
            <w:r w:rsidRPr="00156DA2">
              <w:rPr>
                <w:rFonts w:ascii="Arial" w:eastAsiaTheme="minorEastAsia" w:hAnsi="Arial" w:cs="Arial"/>
                <w:b/>
                <w:i/>
              </w:rPr>
              <w:t>член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2002</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2012</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ЗАО ССМО "ЛенСпецСМУ"</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член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2003</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2012</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ЗАО "ЛенСпецСМУ-Реконструкция"</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Председатель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2003</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2011</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ЗАО "Энергетическая компания "Теплогарант"</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член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2004</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533646" w:rsidP="00023C16">
            <w:pPr>
              <w:rPr>
                <w:rFonts w:ascii="Arial" w:eastAsiaTheme="minorEastAsia" w:hAnsi="Arial" w:cs="Arial"/>
                <w:b/>
                <w:i/>
              </w:rPr>
            </w:pPr>
            <w:r>
              <w:rPr>
                <w:rFonts w:ascii="Arial" w:eastAsiaTheme="minorEastAsia" w:hAnsi="Arial" w:cs="Arial"/>
                <w:b/>
                <w:i/>
              </w:rPr>
              <w:t>2016</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ЗАО "Славянский строитель"</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член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2004</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ЗАО "УСР "Нулевик"</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член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2004</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ЗАО "УПТК-ЛенСпецСМУ"</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член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2004</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2012</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ЗАО "ЭталонПроект"</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Председатель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2005</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2015</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ЗАО "АКТИВ"</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член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2005</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2012</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ЗАО "ЭталонПромстрой"</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Председатель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2005</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2015</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ЗАО "ЭталонСтрой-РиО"</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член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2005</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2012</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ОАО "Энергогарант"</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Председатель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2005</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2012</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ЗАО "РАН"</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член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2006</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ЗАО "СервисГараж"</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член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2006</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2012</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ОАО "Эталон-Инвест"</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член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2007</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2012</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ЗАО "Эталон-Вест"</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Председатель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2007</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2012</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ЗАО "Электронстрой"</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Председатель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2007</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2012</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ЗАО "Управляющая компания "Эталон"</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Генеральный директор, член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2007</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ЗАО "Сервис-Недвижимость"</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член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2007</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ЗАО "ЛС-Риэлти"</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член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2008</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2012</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ЗАО "СУ-267"</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Председатель Наблюдательного совета</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2010</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ООО "СПМ-жилстрой"</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член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2009</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ЗАО "ЗАТОНСКОЕ"</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член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2011</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2012</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ООО "Эталон-Инвест"</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член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ЗАО ССМО "ЛенСпецСМУ"</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Председатель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ЗАО "ЛенСпецСМУ-Реконструкция"</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член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ЗАО "СУ-267"</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член Наблюдательного совета</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ЗАО "Электронстрой"</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член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ЗАО "Управляющая компания "Эталон"</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Председатель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ЗАО "ЭталонПроект"</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член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ЗАО "ЭталонПромстрой"</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член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ОАО "Эталон-Инвест"</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Председатель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ООО "Эталон-Инвест"</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Председатель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2013</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ОАО "Технологическое оснащение"</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член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2013</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ООО "УМ "Эталон"</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член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ЗАО "ГК "Эталон"</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Председатель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ОАО "Летний сад"</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Председатель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ООО "ЭталонПроект"</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член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ОАО "Летний сад"</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член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ООО "ЛенСпецСМУ-Комфорт"</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член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2015</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ООО "ЭталонАктив"</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член Совета директоров</w:t>
            </w:r>
          </w:p>
        </w:tc>
      </w:tr>
      <w:tr w:rsidR="00434272" w:rsidRPr="00156DA2" w:rsidTr="00B972FD">
        <w:tc>
          <w:tcPr>
            <w:tcW w:w="1332" w:type="dxa"/>
            <w:tcBorders>
              <w:top w:val="single" w:sz="6" w:space="0" w:color="auto"/>
              <w:left w:val="doub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2015</w:t>
            </w:r>
          </w:p>
        </w:tc>
        <w:tc>
          <w:tcPr>
            <w:tcW w:w="126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ООО "СМУ "Электронстрой-Эталон"</w:t>
            </w:r>
          </w:p>
        </w:tc>
        <w:tc>
          <w:tcPr>
            <w:tcW w:w="2680" w:type="dxa"/>
            <w:tcBorders>
              <w:top w:val="single" w:sz="6" w:space="0" w:color="auto"/>
              <w:left w:val="single" w:sz="6" w:space="0" w:color="auto"/>
              <w:bottom w:val="sing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член Совета директоров</w:t>
            </w:r>
          </w:p>
        </w:tc>
      </w:tr>
      <w:tr w:rsidR="00434272" w:rsidRPr="00156DA2" w:rsidTr="00B972FD">
        <w:tc>
          <w:tcPr>
            <w:tcW w:w="1332" w:type="dxa"/>
            <w:tcBorders>
              <w:top w:val="single" w:sz="6" w:space="0" w:color="auto"/>
              <w:left w:val="double" w:sz="6" w:space="0" w:color="auto"/>
              <w:bottom w:val="doub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2015</w:t>
            </w:r>
          </w:p>
        </w:tc>
        <w:tc>
          <w:tcPr>
            <w:tcW w:w="1260" w:type="dxa"/>
            <w:tcBorders>
              <w:top w:val="single" w:sz="6" w:space="0" w:color="auto"/>
              <w:left w:val="single" w:sz="6" w:space="0" w:color="auto"/>
              <w:bottom w:val="double" w:sz="6" w:space="0" w:color="auto"/>
              <w:right w:val="single" w:sz="6" w:space="0" w:color="auto"/>
            </w:tcBorders>
          </w:tcPr>
          <w:p w:rsidR="00434272" w:rsidRPr="00156DA2" w:rsidRDefault="00434272" w:rsidP="00023C16">
            <w:pPr>
              <w:rPr>
                <w:rFonts w:ascii="Arial" w:eastAsiaTheme="minorEastAsia" w:hAnsi="Arial" w:cs="Arial"/>
                <w:b/>
                <w:i/>
              </w:rPr>
            </w:pPr>
            <w:r w:rsidRPr="00156DA2">
              <w:rPr>
                <w:rFonts w:ascii="Arial" w:eastAsiaTheme="minorEastAsia" w:hAnsi="Arial" w:cs="Arial"/>
                <w:b/>
                <w:i/>
              </w:rPr>
              <w:t>настоящее время</w:t>
            </w:r>
          </w:p>
        </w:tc>
        <w:tc>
          <w:tcPr>
            <w:tcW w:w="3980" w:type="dxa"/>
            <w:tcBorders>
              <w:top w:val="single" w:sz="6" w:space="0" w:color="auto"/>
              <w:left w:val="single" w:sz="6" w:space="0" w:color="auto"/>
              <w:bottom w:val="double" w:sz="6" w:space="0" w:color="auto"/>
              <w:right w:val="sing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ООО "НТЦ "Эталон"</w:t>
            </w:r>
          </w:p>
        </w:tc>
        <w:tc>
          <w:tcPr>
            <w:tcW w:w="2680" w:type="dxa"/>
            <w:tcBorders>
              <w:top w:val="single" w:sz="6" w:space="0" w:color="auto"/>
              <w:left w:val="single" w:sz="6" w:space="0" w:color="auto"/>
              <w:bottom w:val="double" w:sz="6" w:space="0" w:color="auto"/>
              <w:right w:val="double" w:sz="6" w:space="0" w:color="auto"/>
            </w:tcBorders>
          </w:tcPr>
          <w:p w:rsidR="00434272" w:rsidRPr="00156DA2" w:rsidRDefault="00434272" w:rsidP="00023C16">
            <w:pPr>
              <w:jc w:val="both"/>
              <w:rPr>
                <w:rFonts w:ascii="Arial" w:eastAsiaTheme="minorEastAsia" w:hAnsi="Arial" w:cs="Arial"/>
                <w:b/>
                <w:i/>
              </w:rPr>
            </w:pPr>
            <w:r w:rsidRPr="00156DA2">
              <w:rPr>
                <w:rFonts w:ascii="Arial" w:eastAsiaTheme="minorEastAsia" w:hAnsi="Arial" w:cs="Arial"/>
                <w:b/>
                <w:i/>
              </w:rPr>
              <w:t>член Совета директоров</w:t>
            </w:r>
          </w:p>
        </w:tc>
      </w:tr>
    </w:tbl>
    <w:p w:rsidR="00434272" w:rsidRDefault="00434272" w:rsidP="00434272">
      <w:pPr>
        <w:pStyle w:val="ThinDelim"/>
        <w:ind w:firstLine="567"/>
        <w:jc w:val="both"/>
        <w:rPr>
          <w:rFonts w:eastAsiaTheme="minorEastAsia"/>
          <w:szCs w:val="20"/>
        </w:rPr>
      </w:pPr>
    </w:p>
    <w:p w:rsidR="00434272" w:rsidRPr="0020025F" w:rsidRDefault="00434272" w:rsidP="00434272">
      <w:pPr>
        <w:pStyle w:val="ConsPlusNormal"/>
        <w:ind w:firstLine="540"/>
        <w:jc w:val="both"/>
        <w:rPr>
          <w:b/>
          <w:i/>
        </w:rPr>
      </w:pPr>
      <w:r>
        <w:rPr>
          <w:rFonts w:ascii="Times New Roman" w:hAnsi="Times New Roman" w:cs="Times New Roman"/>
        </w:rPr>
        <w:t xml:space="preserve">доля участия такого лица в уставном капитале эмитента, являющегося коммерческой организацией: </w:t>
      </w:r>
      <w:r w:rsidRPr="0020025F">
        <w:rPr>
          <w:b/>
          <w:i/>
        </w:rPr>
        <w:t>доли не имеет</w:t>
      </w:r>
    </w:p>
    <w:p w:rsidR="00434272" w:rsidRDefault="00434272" w:rsidP="00434272">
      <w:pPr>
        <w:pStyle w:val="ConsPlusNormal"/>
        <w:ind w:firstLine="540"/>
        <w:jc w:val="both"/>
        <w:rPr>
          <w:rFonts w:ascii="Times New Roman" w:hAnsi="Times New Roman" w:cs="Times New Roman"/>
        </w:rPr>
      </w:pPr>
      <w:r>
        <w:rPr>
          <w:rFonts w:ascii="Times New Roman" w:hAnsi="Times New Roman" w:cs="Times New Roman"/>
        </w:rPr>
        <w:t>доля принадлежащих такому лицу обыкновенных акций эмитента:</w:t>
      </w:r>
      <w:r w:rsidRPr="003E1D7E">
        <w:rPr>
          <w:b/>
          <w:i/>
        </w:rPr>
        <w:t xml:space="preserve"> </w:t>
      </w:r>
      <w:r w:rsidRPr="0020025F">
        <w:rPr>
          <w:b/>
          <w:i/>
        </w:rPr>
        <w:t>доли не имеет</w:t>
      </w:r>
    </w:p>
    <w:p w:rsidR="00434272" w:rsidRPr="003E1D7E" w:rsidRDefault="00434272" w:rsidP="00434272">
      <w:pPr>
        <w:pStyle w:val="ConsPlusNormal"/>
        <w:ind w:firstLine="540"/>
        <w:jc w:val="both"/>
        <w:rPr>
          <w:b/>
          <w:i/>
        </w:rPr>
      </w:pPr>
      <w:r>
        <w:rPr>
          <w:rFonts w:ascii="Times New Roman" w:hAnsi="Times New Roman" w:cs="Times New Roman"/>
        </w:rPr>
        <w:t xml:space="preserve">количество акций эмитента каждой категории (типа), которые могут быть приобретены таким лицом в результате осуществления прав по принадлежащим ему опционам эмитента: </w:t>
      </w:r>
      <w:r w:rsidRPr="003E1D7E">
        <w:rPr>
          <w:b/>
          <w:i/>
        </w:rPr>
        <w:t>0 штук</w:t>
      </w:r>
    </w:p>
    <w:p w:rsidR="00434272" w:rsidRDefault="00434272" w:rsidP="00434272">
      <w:pPr>
        <w:pStyle w:val="ConsPlusNormal"/>
        <w:ind w:firstLine="540"/>
        <w:jc w:val="both"/>
        <w:rPr>
          <w:rFonts w:ascii="Times New Roman" w:hAnsi="Times New Roman" w:cs="Times New Roman"/>
        </w:rPr>
      </w:pPr>
      <w:r>
        <w:rPr>
          <w:rFonts w:ascii="Times New Roman" w:hAnsi="Times New Roman" w:cs="Times New Roman"/>
        </w:rPr>
        <w:t xml:space="preserve">доля участия такого лица в уставном капитале дочерних и зависимых обществ эмитента: </w:t>
      </w:r>
      <w:r w:rsidRPr="0020025F">
        <w:rPr>
          <w:b/>
          <w:i/>
        </w:rPr>
        <w:t>доли не имеет</w:t>
      </w:r>
    </w:p>
    <w:p w:rsidR="00434272" w:rsidRDefault="00434272" w:rsidP="00434272">
      <w:pPr>
        <w:pStyle w:val="ConsPlusNormal"/>
        <w:ind w:firstLine="540"/>
        <w:jc w:val="both"/>
        <w:rPr>
          <w:rFonts w:ascii="Times New Roman" w:hAnsi="Times New Roman" w:cs="Times New Roman"/>
        </w:rPr>
      </w:pPr>
      <w:r>
        <w:rPr>
          <w:rFonts w:ascii="Times New Roman" w:hAnsi="Times New Roman" w:cs="Times New Roman"/>
        </w:rPr>
        <w:t xml:space="preserve">доля принадлежащих такому лицу обыкновенных акций дочернего или зависимого общества эмитента и количества акций дочернего или зависимого общества эмитента каждой категории (типа), которые могут быть приобретены таким лицом в результате осуществления прав по принадлежащим ему опционам дочернего или зависимого общества эмитента: </w:t>
      </w:r>
      <w:r w:rsidRPr="0020025F">
        <w:rPr>
          <w:b/>
          <w:i/>
        </w:rPr>
        <w:t>доли не имеет</w:t>
      </w:r>
    </w:p>
    <w:p w:rsidR="00434272" w:rsidRPr="0020025F" w:rsidRDefault="00434272" w:rsidP="00434272">
      <w:pPr>
        <w:ind w:firstLine="540"/>
        <w:jc w:val="both"/>
        <w:rPr>
          <w:rFonts w:ascii="Arial" w:eastAsiaTheme="minorHAnsi" w:hAnsi="Arial" w:cs="Arial"/>
          <w:b/>
          <w:i/>
          <w:lang w:eastAsia="en-US"/>
        </w:rPr>
      </w:pPr>
      <w:r>
        <w:t xml:space="preserve">характер любых родственных связей с лицами, входящими в состав органов управления эмитента и (или) органов контроля за финансово-хозяйственной деятельностью эмитента: </w:t>
      </w:r>
      <w:r w:rsidRPr="0020025F">
        <w:rPr>
          <w:rFonts w:ascii="Arial" w:eastAsiaTheme="minorHAnsi" w:hAnsi="Arial" w:cs="Arial"/>
          <w:b/>
          <w:i/>
          <w:lang w:eastAsia="en-US"/>
        </w:rPr>
        <w:t>Указанных родственных связей нет</w:t>
      </w:r>
    </w:p>
    <w:p w:rsidR="00434272" w:rsidRPr="0020025F" w:rsidRDefault="00434272" w:rsidP="00434272">
      <w:pPr>
        <w:ind w:firstLine="540"/>
        <w:jc w:val="both"/>
        <w:rPr>
          <w:rFonts w:ascii="Arial" w:eastAsiaTheme="minorHAnsi" w:hAnsi="Arial" w:cs="Arial"/>
          <w:b/>
          <w:i/>
          <w:lang w:eastAsia="en-US"/>
        </w:rPr>
      </w:pPr>
      <w:r>
        <w:t xml:space="preserve">сведения о привлечении к административной ответственности за правонарушения в области финансов, налогов и сборов, рынка ценных бумаг или уголовной ответственности (наличии судимости) за преступления в сфере экономики и (или) за преступления против государственной власти: </w:t>
      </w:r>
      <w:r w:rsidRPr="0020025F">
        <w:rPr>
          <w:rFonts w:ascii="Arial" w:eastAsiaTheme="minorHAnsi" w:hAnsi="Arial" w:cs="Arial"/>
          <w:b/>
          <w:i/>
          <w:lang w:eastAsia="en-US"/>
        </w:rPr>
        <w:t>Лицо к указанным видам ответственности не привлекалось</w:t>
      </w:r>
    </w:p>
    <w:p w:rsidR="00434272" w:rsidRDefault="00434272" w:rsidP="00434272">
      <w:pPr>
        <w:ind w:firstLine="540"/>
        <w:jc w:val="both"/>
        <w:rPr>
          <w:rFonts w:eastAsiaTheme="minorEastAsia"/>
        </w:rPr>
      </w:pPr>
      <w:r>
        <w:t xml:space="preserve">сведения о занятии должностей в органах управления коммерческих организаций в период, когда в отношении указанных организаций было возбуждено дело о банкротстве и (или) введена одна из процедур банкротства, предусмотренных законодательством Российской Федерации о несостоятельности (банкротстве): </w:t>
      </w:r>
      <w:r w:rsidRPr="0020025F">
        <w:rPr>
          <w:rFonts w:ascii="Arial" w:eastAsiaTheme="minorHAnsi" w:hAnsi="Arial" w:cs="Arial"/>
          <w:b/>
          <w:i/>
          <w:lang w:eastAsia="en-US"/>
        </w:rPr>
        <w:t>Лицо указанных должностей не занимало</w:t>
      </w:r>
    </w:p>
    <w:p w:rsidR="0054273C" w:rsidRDefault="00434272" w:rsidP="00434272">
      <w:pPr>
        <w:pStyle w:val="ConsPlusNormal"/>
        <w:ind w:firstLine="567"/>
        <w:jc w:val="both"/>
        <w:rPr>
          <w:b/>
          <w:bCs/>
          <w:i/>
          <w:iCs/>
        </w:rPr>
      </w:pPr>
      <w:r>
        <w:rPr>
          <w:rFonts w:ascii="Times New Roman" w:hAnsi="Times New Roman" w:cs="Times New Roman"/>
        </w:rPr>
        <w:t xml:space="preserve">По каждому члену совета директоров (наблюдательного совета) эмитента дополнительно указываются сведения об участии (член комитета, председатель комитета) в работе комитетов совета директоров (наблюдательного совета) с указанием названия комитета (комитетов): </w:t>
      </w:r>
      <w:r>
        <w:rPr>
          <w:b/>
          <w:bCs/>
          <w:i/>
          <w:iCs/>
        </w:rPr>
        <w:t>не участвует</w:t>
      </w:r>
    </w:p>
    <w:p w:rsidR="00434272" w:rsidRDefault="00434272" w:rsidP="00434272">
      <w:pPr>
        <w:pStyle w:val="ConsPlusNormal"/>
        <w:ind w:firstLine="567"/>
        <w:jc w:val="both"/>
        <w:rPr>
          <w:rFonts w:ascii="Times New Roman" w:hAnsi="Times New Roman" w:cs="Times New Roman"/>
        </w:rPr>
      </w:pPr>
      <w:r>
        <w:rPr>
          <w:rFonts w:ascii="Times New Roman" w:hAnsi="Times New Roman" w:cs="Times New Roman"/>
        </w:rPr>
        <w:t xml:space="preserve">Приводятся также сведения о членах совета директоров (наблюдательного совета), которых эмитент считает независимыми: </w:t>
      </w:r>
      <w:r>
        <w:rPr>
          <w:b/>
          <w:bCs/>
          <w:i/>
          <w:iCs/>
        </w:rPr>
        <w:t>не является независимым директором</w:t>
      </w:r>
    </w:p>
    <w:p w:rsidR="00434272" w:rsidRDefault="00434272" w:rsidP="00434272">
      <w:pPr>
        <w:pStyle w:val="ConsPlusNormal"/>
        <w:ind w:firstLine="540"/>
        <w:jc w:val="both"/>
        <w:rPr>
          <w:rFonts w:ascii="Times New Roman" w:hAnsi="Times New Roman" w:cs="Times New Roman"/>
        </w:rPr>
      </w:pPr>
    </w:p>
    <w:p w:rsidR="00434272" w:rsidRPr="0084445E" w:rsidRDefault="00434272" w:rsidP="00434272">
      <w:pPr>
        <w:ind w:firstLine="567"/>
        <w:jc w:val="both"/>
        <w:rPr>
          <w:rFonts w:ascii="Arial" w:eastAsiaTheme="minorHAnsi" w:hAnsi="Arial" w:cs="Arial"/>
          <w:b/>
          <w:bCs/>
          <w:i/>
          <w:iCs/>
          <w:lang w:eastAsia="en-US"/>
        </w:rPr>
      </w:pPr>
      <w:r>
        <w:t>3. фамилия, имя, отчество:</w:t>
      </w:r>
      <w:r w:rsidRPr="009D1CD4">
        <w:rPr>
          <w:rFonts w:eastAsiaTheme="minorEastAsia"/>
        </w:rPr>
        <w:t xml:space="preserve"> </w:t>
      </w:r>
      <w:r w:rsidRPr="0084445E">
        <w:rPr>
          <w:rFonts w:ascii="Arial" w:eastAsiaTheme="minorHAnsi" w:hAnsi="Arial" w:cs="Arial"/>
          <w:b/>
          <w:bCs/>
          <w:i/>
          <w:iCs/>
          <w:lang w:eastAsia="en-US"/>
        </w:rPr>
        <w:t xml:space="preserve">Иванов Михаил Иванович </w:t>
      </w:r>
    </w:p>
    <w:p w:rsidR="00434272" w:rsidRDefault="00434272" w:rsidP="00434272">
      <w:pPr>
        <w:ind w:firstLine="567"/>
        <w:jc w:val="both"/>
      </w:pPr>
      <w:r>
        <w:t xml:space="preserve">год рождения: </w:t>
      </w:r>
      <w:r w:rsidRPr="0084445E">
        <w:rPr>
          <w:rFonts w:ascii="Arial" w:eastAsiaTheme="minorHAnsi" w:hAnsi="Arial" w:cs="Arial"/>
          <w:b/>
          <w:bCs/>
          <w:i/>
          <w:iCs/>
          <w:lang w:eastAsia="en-US"/>
        </w:rPr>
        <w:t>1948</w:t>
      </w:r>
    </w:p>
    <w:p w:rsidR="00434272" w:rsidRDefault="00434272" w:rsidP="00434272">
      <w:pPr>
        <w:pStyle w:val="ConsPlusNormal"/>
        <w:ind w:firstLine="567"/>
        <w:jc w:val="both"/>
        <w:rPr>
          <w:rFonts w:ascii="Times New Roman" w:hAnsi="Times New Roman" w:cs="Times New Roman"/>
        </w:rPr>
      </w:pPr>
      <w:r>
        <w:rPr>
          <w:rFonts w:ascii="Times New Roman" w:hAnsi="Times New Roman" w:cs="Times New Roman"/>
        </w:rPr>
        <w:t>сведения об образовании:</w:t>
      </w:r>
    </w:p>
    <w:p w:rsidR="00434272" w:rsidRPr="0084445E" w:rsidRDefault="00434272" w:rsidP="00434272">
      <w:pPr>
        <w:pStyle w:val="ConsPlusNormal"/>
        <w:ind w:firstLine="567"/>
        <w:jc w:val="both"/>
        <w:rPr>
          <w:b/>
          <w:bCs/>
          <w:i/>
          <w:iCs/>
        </w:rPr>
      </w:pPr>
      <w:r w:rsidRPr="0084445E">
        <w:rPr>
          <w:b/>
          <w:bCs/>
          <w:i/>
          <w:iCs/>
        </w:rPr>
        <w:t>высшее профессиональное, Ленинградский Государственный университет им. Жданова, преподаватель.</w:t>
      </w:r>
    </w:p>
    <w:p w:rsidR="00434272" w:rsidRDefault="00434272" w:rsidP="00434272">
      <w:pPr>
        <w:pStyle w:val="ConsPlusNormal"/>
        <w:ind w:firstLine="567"/>
        <w:jc w:val="both"/>
        <w:rPr>
          <w:rFonts w:ascii="Times New Roman" w:hAnsi="Times New Roman" w:cs="Times New Roman"/>
        </w:rPr>
      </w:pPr>
      <w:r>
        <w:rPr>
          <w:rFonts w:ascii="Times New Roman" w:hAnsi="Times New Roman" w:cs="Times New Roman"/>
        </w:rPr>
        <w:t>все должности, занимаемые таким лицом в эмитенте и других организациях за последние пять лет и в настоящее время в хронологическом порядке, в том числе по совместительству:</w:t>
      </w:r>
    </w:p>
    <w:p w:rsidR="00434272" w:rsidRDefault="00434272" w:rsidP="00434272">
      <w:pPr>
        <w:pStyle w:val="ThinDelim"/>
        <w:jc w:val="both"/>
        <w:rPr>
          <w:rFonts w:eastAsiaTheme="minorEastAsia"/>
          <w:szCs w:val="20"/>
        </w:rPr>
      </w:pPr>
    </w:p>
    <w:tbl>
      <w:tblPr>
        <w:tblW w:w="0" w:type="auto"/>
        <w:tblLayout w:type="fixed"/>
        <w:tblCellMar>
          <w:left w:w="72" w:type="dxa"/>
          <w:right w:w="72" w:type="dxa"/>
        </w:tblCellMar>
        <w:tblLook w:val="0000" w:firstRow="0" w:lastRow="0" w:firstColumn="0" w:lastColumn="0" w:noHBand="0" w:noVBand="0"/>
      </w:tblPr>
      <w:tblGrid>
        <w:gridCol w:w="1332"/>
        <w:gridCol w:w="1260"/>
        <w:gridCol w:w="3980"/>
        <w:gridCol w:w="2680"/>
      </w:tblGrid>
      <w:tr w:rsidR="00434272" w:rsidTr="00B972FD">
        <w:tc>
          <w:tcPr>
            <w:tcW w:w="2592" w:type="dxa"/>
            <w:gridSpan w:val="2"/>
            <w:tcBorders>
              <w:top w:val="doub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Период</w:t>
            </w:r>
          </w:p>
        </w:tc>
        <w:tc>
          <w:tcPr>
            <w:tcW w:w="3980" w:type="dxa"/>
            <w:tcBorders>
              <w:top w:val="doub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Наименование организации</w:t>
            </w:r>
          </w:p>
        </w:tc>
        <w:tc>
          <w:tcPr>
            <w:tcW w:w="2680" w:type="dxa"/>
            <w:tcBorders>
              <w:top w:val="doub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Должность</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с</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по</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2001</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ЗАО ССМО "ЛенСпецСМУ"</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2001</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ЗАО "Управляющая компания "Эталон"</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Заместитель генерального директора, 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2001</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ЗАО "СПб МФТЦ"</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2001</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ОАО "СМУ "Электронстрой"</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2001</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ЗАО "Новатор"</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2002</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ЗАО "ЛенСпецСМУ-Реконструкция"</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2002</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2013</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ЗАО "РемЭкс"</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2002</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42D23" w:rsidP="00023C16">
            <w:pPr>
              <w:jc w:val="both"/>
              <w:rPr>
                <w:rFonts w:ascii="Arial" w:eastAsiaTheme="minorEastAsia" w:hAnsi="Arial" w:cs="Arial"/>
                <w:b/>
                <w:i/>
              </w:rPr>
            </w:pPr>
            <w:r>
              <w:rPr>
                <w:rFonts w:ascii="Arial" w:eastAsiaTheme="minorEastAsia" w:hAnsi="Arial" w:cs="Arial"/>
                <w:b/>
                <w:i/>
              </w:rPr>
              <w:t>2016</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ЗАО "Славянский строитель"</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2003</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2012</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ЗАО "ЗСМ "Эталон"</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2003</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2012</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ЗАО "АКТИВ"</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2003</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2011</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ЗАО "Энергетическая компания "Теплогарант"</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2004</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ЗАО "УСР "Нулевик"</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2004</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ЗАО "ЭталонПроект"</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2005</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ЗАО "УПТК-ЛенСпецСМУ"</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2005</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ЗАО "ЭталонПромстрой"</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2005</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2015</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ЗАО "ЭталонСтрой-РиО"</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2005</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2012</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ОАО "Энергогарант"</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2005</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2012</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ЗАО "РАН"</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2007</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2012</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ЗАО "Эталон-Вест"</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2007</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ООО "Сирэна"</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Генеральный директор</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2007</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ООО "ЛСС-строй"</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Генеральный директор</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2007</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ЗАО "Электронстрой"</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2007</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2012</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ЗАО "Сервис-Недвижимость"</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2007</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2011</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ЗАО "ЛС-Риэлти"</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2007</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2011</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ЗАО "ЛенСпецСМУ-Комфорт"</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Генеральный директор</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2008</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ОАО "Эталон-Инвест"</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2008</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2015</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ООО "Вертикаль"</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Генеральный директор</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2009</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2013</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ЗАО "ЗАТОНСКОЕ"</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2010</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ЗАО "СервисГараж"</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2010</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ООО "СПМ-жилстрой"</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2010</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ЗАО "ЦУН"</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2011</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ЗАО "СУ-267"</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Член Наблюдательного совета</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2011</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ООО "Эталон-Инвест"</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2011</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2012</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ООО "ЖК Московский"</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Генеральный директор</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2011</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2013</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ЗАО "ЛС-Риэлти"</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ЗАО "ЗСМ "Эталон"</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2015</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ЗАО "АКТИВ"</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ЗАО "Сервис-Недвижимость"</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2013</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ОАО "Технологическое оснащение"</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2013</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2013</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ООО "ТВК "АУРА"</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Генеральный директор</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2013</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ООО "УМ "Эталон"</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2013</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ЗАО "ЛС-Риэлти"</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ЗАО «УПТК-ЛенСпецСМУ»</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ЗАО "ГК "Эталон"</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Заместитель генерального директора, 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ОАО "Летний сад"</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ООО "ЭталонПроект"</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ООО "ЛенСпецСМУ-Комфорт"</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2015</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ООО "ЭталонАктив"</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2015</w:t>
            </w:r>
          </w:p>
        </w:tc>
        <w:tc>
          <w:tcPr>
            <w:tcW w:w="126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ООО "СМУ "Электронстрой-Эталон"</w:t>
            </w:r>
          </w:p>
        </w:tc>
        <w:tc>
          <w:tcPr>
            <w:tcW w:w="2680" w:type="dxa"/>
            <w:tcBorders>
              <w:top w:val="single" w:sz="6" w:space="0" w:color="auto"/>
              <w:left w:val="single" w:sz="6" w:space="0" w:color="auto"/>
              <w:bottom w:val="sing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Генеральный директор, член Совета директоров</w:t>
            </w:r>
          </w:p>
        </w:tc>
      </w:tr>
      <w:tr w:rsidR="00434272" w:rsidTr="00B972FD">
        <w:tc>
          <w:tcPr>
            <w:tcW w:w="1332" w:type="dxa"/>
            <w:tcBorders>
              <w:top w:val="single" w:sz="6" w:space="0" w:color="auto"/>
              <w:left w:val="double" w:sz="6" w:space="0" w:color="auto"/>
              <w:bottom w:val="doub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2015</w:t>
            </w:r>
          </w:p>
        </w:tc>
        <w:tc>
          <w:tcPr>
            <w:tcW w:w="1260" w:type="dxa"/>
            <w:tcBorders>
              <w:top w:val="single" w:sz="6" w:space="0" w:color="auto"/>
              <w:left w:val="single" w:sz="6" w:space="0" w:color="auto"/>
              <w:bottom w:val="doub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настоящее время</w:t>
            </w:r>
          </w:p>
        </w:tc>
        <w:tc>
          <w:tcPr>
            <w:tcW w:w="3980" w:type="dxa"/>
            <w:tcBorders>
              <w:top w:val="single" w:sz="6" w:space="0" w:color="auto"/>
              <w:left w:val="single" w:sz="6" w:space="0" w:color="auto"/>
              <w:bottom w:val="double" w:sz="6" w:space="0" w:color="auto"/>
              <w:right w:val="sing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ООО "НТЦ "Эталон"</w:t>
            </w:r>
          </w:p>
        </w:tc>
        <w:tc>
          <w:tcPr>
            <w:tcW w:w="2680" w:type="dxa"/>
            <w:tcBorders>
              <w:top w:val="single" w:sz="6" w:space="0" w:color="auto"/>
              <w:left w:val="single" w:sz="6" w:space="0" w:color="auto"/>
              <w:bottom w:val="double" w:sz="6" w:space="0" w:color="auto"/>
              <w:right w:val="double" w:sz="6" w:space="0" w:color="auto"/>
            </w:tcBorders>
          </w:tcPr>
          <w:p w:rsidR="00434272" w:rsidRPr="0084445E" w:rsidRDefault="00434272" w:rsidP="00023C16">
            <w:pPr>
              <w:jc w:val="both"/>
              <w:rPr>
                <w:rFonts w:ascii="Arial" w:eastAsiaTheme="minorEastAsia" w:hAnsi="Arial" w:cs="Arial"/>
                <w:b/>
                <w:i/>
              </w:rPr>
            </w:pPr>
            <w:r w:rsidRPr="0084445E">
              <w:rPr>
                <w:rFonts w:ascii="Arial" w:eastAsiaTheme="minorEastAsia" w:hAnsi="Arial" w:cs="Arial"/>
                <w:b/>
                <w:i/>
              </w:rPr>
              <w:t>член Совета директоров</w:t>
            </w:r>
          </w:p>
        </w:tc>
      </w:tr>
    </w:tbl>
    <w:p w:rsidR="00434272" w:rsidRDefault="00434272" w:rsidP="00434272">
      <w:pPr>
        <w:pStyle w:val="ThinDelim"/>
        <w:jc w:val="both"/>
        <w:rPr>
          <w:rFonts w:eastAsiaTheme="minorEastAsia"/>
          <w:szCs w:val="20"/>
        </w:rPr>
      </w:pPr>
    </w:p>
    <w:p w:rsidR="00434272" w:rsidRPr="0020025F" w:rsidRDefault="00434272" w:rsidP="00434272">
      <w:pPr>
        <w:pStyle w:val="ConsPlusNormal"/>
        <w:ind w:firstLine="540"/>
        <w:jc w:val="both"/>
        <w:rPr>
          <w:b/>
          <w:i/>
        </w:rPr>
      </w:pPr>
      <w:r>
        <w:rPr>
          <w:rFonts w:ascii="Times New Roman" w:hAnsi="Times New Roman" w:cs="Times New Roman"/>
        </w:rPr>
        <w:t xml:space="preserve">доля участия такого лица в уставном капитале эмитента, являющегося коммерческой организацией: </w:t>
      </w:r>
      <w:r w:rsidRPr="0020025F">
        <w:rPr>
          <w:b/>
          <w:i/>
        </w:rPr>
        <w:t>доли не имеет</w:t>
      </w:r>
    </w:p>
    <w:p w:rsidR="00434272" w:rsidRDefault="00434272" w:rsidP="00434272">
      <w:pPr>
        <w:pStyle w:val="ConsPlusNormal"/>
        <w:ind w:firstLine="540"/>
        <w:jc w:val="both"/>
        <w:rPr>
          <w:rFonts w:ascii="Times New Roman" w:hAnsi="Times New Roman" w:cs="Times New Roman"/>
        </w:rPr>
      </w:pPr>
      <w:r>
        <w:rPr>
          <w:rFonts w:ascii="Times New Roman" w:hAnsi="Times New Roman" w:cs="Times New Roman"/>
        </w:rPr>
        <w:t>доля принадлежащих такому лицу обыкновенных акций эмитента:</w:t>
      </w:r>
      <w:r w:rsidRPr="003E1D7E">
        <w:rPr>
          <w:b/>
          <w:i/>
        </w:rPr>
        <w:t xml:space="preserve"> </w:t>
      </w:r>
      <w:r w:rsidRPr="0020025F">
        <w:rPr>
          <w:b/>
          <w:i/>
        </w:rPr>
        <w:t>доли не имеет</w:t>
      </w:r>
    </w:p>
    <w:p w:rsidR="00434272" w:rsidRPr="003E1D7E" w:rsidRDefault="00434272" w:rsidP="00434272">
      <w:pPr>
        <w:pStyle w:val="ConsPlusNormal"/>
        <w:ind w:firstLine="540"/>
        <w:jc w:val="both"/>
        <w:rPr>
          <w:b/>
          <w:i/>
        </w:rPr>
      </w:pPr>
      <w:r>
        <w:rPr>
          <w:rFonts w:ascii="Times New Roman" w:hAnsi="Times New Roman" w:cs="Times New Roman"/>
        </w:rPr>
        <w:t xml:space="preserve">количество акций эмитента каждой категории (типа), которые могут быть приобретены таким лицом в результате осуществления прав по принадлежащим ему опционам эмитента: </w:t>
      </w:r>
      <w:r w:rsidRPr="003E1D7E">
        <w:rPr>
          <w:b/>
          <w:i/>
        </w:rPr>
        <w:t>0 штук</w:t>
      </w:r>
    </w:p>
    <w:p w:rsidR="00434272" w:rsidRDefault="00434272" w:rsidP="00434272">
      <w:pPr>
        <w:pStyle w:val="ConsPlusNormal"/>
        <w:ind w:firstLine="540"/>
        <w:jc w:val="both"/>
        <w:rPr>
          <w:rFonts w:ascii="Times New Roman" w:hAnsi="Times New Roman" w:cs="Times New Roman"/>
        </w:rPr>
      </w:pPr>
      <w:r>
        <w:rPr>
          <w:rFonts w:ascii="Times New Roman" w:hAnsi="Times New Roman" w:cs="Times New Roman"/>
        </w:rPr>
        <w:t xml:space="preserve">доля участия такого лица в уставном капитале дочерних и зависимых обществ эмитента: </w:t>
      </w:r>
      <w:r w:rsidRPr="0020025F">
        <w:rPr>
          <w:b/>
          <w:i/>
        </w:rPr>
        <w:t>доли не имеет</w:t>
      </w:r>
    </w:p>
    <w:p w:rsidR="00434272" w:rsidRDefault="00434272" w:rsidP="00434272">
      <w:pPr>
        <w:pStyle w:val="ConsPlusNormal"/>
        <w:ind w:firstLine="540"/>
        <w:jc w:val="both"/>
        <w:rPr>
          <w:rFonts w:ascii="Times New Roman" w:hAnsi="Times New Roman" w:cs="Times New Roman"/>
        </w:rPr>
      </w:pPr>
      <w:r>
        <w:rPr>
          <w:rFonts w:ascii="Times New Roman" w:hAnsi="Times New Roman" w:cs="Times New Roman"/>
        </w:rPr>
        <w:t xml:space="preserve">доля принадлежащих такому лицу обыкновенных акций дочернего или зависимого общества эмитента и количества акций дочернего или зависимого общества эмитента каждой категории (типа), которые могут быть приобретены таким лицом в результате осуществления прав по принадлежащим ему опционам дочернего или зависимого общества эмитента: </w:t>
      </w:r>
      <w:r w:rsidRPr="0020025F">
        <w:rPr>
          <w:b/>
          <w:i/>
        </w:rPr>
        <w:t>доли не имеет</w:t>
      </w:r>
    </w:p>
    <w:p w:rsidR="00434272" w:rsidRPr="0020025F" w:rsidRDefault="00434272" w:rsidP="00434272">
      <w:pPr>
        <w:ind w:firstLine="540"/>
        <w:jc w:val="both"/>
        <w:rPr>
          <w:rFonts w:ascii="Arial" w:eastAsiaTheme="minorHAnsi" w:hAnsi="Arial" w:cs="Arial"/>
          <w:b/>
          <w:i/>
          <w:lang w:eastAsia="en-US"/>
        </w:rPr>
      </w:pPr>
      <w:r>
        <w:t xml:space="preserve">характер любых родственных связей с лицами, входящими в состав органов управления эмитента и (или) органов контроля за финансово-хозяйственной деятельностью эмитента: </w:t>
      </w:r>
      <w:r w:rsidRPr="0020025F">
        <w:rPr>
          <w:rFonts w:ascii="Arial" w:eastAsiaTheme="minorHAnsi" w:hAnsi="Arial" w:cs="Arial"/>
          <w:b/>
          <w:i/>
          <w:lang w:eastAsia="en-US"/>
        </w:rPr>
        <w:t>Указанных родственных связей нет</w:t>
      </w:r>
    </w:p>
    <w:p w:rsidR="00434272" w:rsidRPr="0020025F" w:rsidRDefault="00434272" w:rsidP="00434272">
      <w:pPr>
        <w:ind w:firstLine="540"/>
        <w:jc w:val="both"/>
        <w:rPr>
          <w:rFonts w:ascii="Arial" w:eastAsiaTheme="minorHAnsi" w:hAnsi="Arial" w:cs="Arial"/>
          <w:b/>
          <w:i/>
          <w:lang w:eastAsia="en-US"/>
        </w:rPr>
      </w:pPr>
      <w:r>
        <w:t xml:space="preserve">сведения о привлечении к административной ответственности за правонарушения в области финансов, налогов и сборов, рынка ценных бумаг или уголовной ответственности (наличии судимости) за преступления в сфере экономики и (или) за преступления против государственной власти: </w:t>
      </w:r>
      <w:r w:rsidRPr="0020025F">
        <w:rPr>
          <w:rFonts w:ascii="Arial" w:eastAsiaTheme="minorHAnsi" w:hAnsi="Arial" w:cs="Arial"/>
          <w:b/>
          <w:i/>
          <w:lang w:eastAsia="en-US"/>
        </w:rPr>
        <w:t>Лицо к указанным видам ответственности не привлекалось</w:t>
      </w:r>
    </w:p>
    <w:p w:rsidR="00434272" w:rsidRDefault="00434272" w:rsidP="00434272">
      <w:pPr>
        <w:ind w:firstLine="540"/>
        <w:jc w:val="both"/>
        <w:rPr>
          <w:rFonts w:eastAsiaTheme="minorEastAsia"/>
        </w:rPr>
      </w:pPr>
      <w:r>
        <w:t xml:space="preserve">сведения о занятии должностей в органах управления коммерческих организаций в период, когда в отношении указанных организаций было возбуждено дело о банкротстве и (или) введена одна из процедур банкротства, предусмотренных законодательством Российской Федерации о несостоятельности (банкротстве): </w:t>
      </w:r>
      <w:r w:rsidRPr="0020025F">
        <w:rPr>
          <w:rFonts w:ascii="Arial" w:eastAsiaTheme="minorHAnsi" w:hAnsi="Arial" w:cs="Arial"/>
          <w:b/>
          <w:i/>
          <w:lang w:eastAsia="en-US"/>
        </w:rPr>
        <w:t>Лицо указанных должностей не занимало</w:t>
      </w:r>
    </w:p>
    <w:p w:rsidR="00434272" w:rsidRDefault="00434272" w:rsidP="00434272">
      <w:pPr>
        <w:pStyle w:val="ConsPlusNormal"/>
        <w:ind w:firstLine="567"/>
        <w:jc w:val="both"/>
        <w:rPr>
          <w:rFonts w:ascii="Times New Roman" w:hAnsi="Times New Roman" w:cs="Times New Roman"/>
        </w:rPr>
      </w:pPr>
      <w:r>
        <w:rPr>
          <w:rFonts w:ascii="Times New Roman" w:hAnsi="Times New Roman" w:cs="Times New Roman"/>
        </w:rPr>
        <w:t xml:space="preserve">По каждому члену совета директоров (наблюдательного совета) эмитента дополнительно указываются сведения об участии (член комитета, председатель комитета) в работе комитетов совета директоров (наблюдательного совета) с указанием названия комитета (комитетов): </w:t>
      </w:r>
      <w:r>
        <w:rPr>
          <w:b/>
          <w:bCs/>
          <w:i/>
          <w:iCs/>
        </w:rPr>
        <w:t xml:space="preserve">не участвует </w:t>
      </w:r>
      <w:r>
        <w:rPr>
          <w:rFonts w:ascii="Times New Roman" w:hAnsi="Times New Roman" w:cs="Times New Roman"/>
        </w:rPr>
        <w:t xml:space="preserve">Приводятся также сведения о членах совета директоров (наблюдательного совета), которых эмитент считает независимыми: </w:t>
      </w:r>
      <w:r>
        <w:rPr>
          <w:b/>
          <w:bCs/>
          <w:i/>
          <w:iCs/>
        </w:rPr>
        <w:t>не является независимым директором</w:t>
      </w:r>
    </w:p>
    <w:p w:rsidR="00434272" w:rsidRDefault="00434272" w:rsidP="00434272">
      <w:pPr>
        <w:pStyle w:val="ConsPlusNormal"/>
        <w:ind w:firstLine="540"/>
        <w:jc w:val="both"/>
        <w:rPr>
          <w:rFonts w:ascii="Times New Roman" w:hAnsi="Times New Roman" w:cs="Times New Roman"/>
        </w:rPr>
      </w:pPr>
    </w:p>
    <w:p w:rsidR="00434272" w:rsidRPr="0084445E" w:rsidRDefault="00434272" w:rsidP="00434272">
      <w:pPr>
        <w:ind w:firstLine="567"/>
        <w:jc w:val="both"/>
        <w:rPr>
          <w:rFonts w:ascii="Arial" w:eastAsiaTheme="minorHAnsi" w:hAnsi="Arial" w:cs="Arial"/>
          <w:b/>
          <w:bCs/>
          <w:i/>
          <w:iCs/>
          <w:lang w:eastAsia="en-US"/>
        </w:rPr>
      </w:pPr>
      <w:r>
        <w:t>4. фамилия, имя, отчество:</w:t>
      </w:r>
      <w:r w:rsidRPr="009D1CD4">
        <w:rPr>
          <w:rFonts w:eastAsiaTheme="minorEastAsia"/>
        </w:rPr>
        <w:t xml:space="preserve"> </w:t>
      </w:r>
      <w:r w:rsidRPr="0084445E">
        <w:rPr>
          <w:rFonts w:ascii="Arial" w:eastAsiaTheme="minorHAnsi" w:hAnsi="Arial" w:cs="Arial"/>
          <w:b/>
          <w:bCs/>
          <w:i/>
          <w:iCs/>
          <w:lang w:eastAsia="en-US"/>
        </w:rPr>
        <w:t>Щербина Геннадий Филиппович</w:t>
      </w:r>
    </w:p>
    <w:p w:rsidR="00434272" w:rsidRDefault="00434272" w:rsidP="00434272">
      <w:pPr>
        <w:ind w:firstLine="567"/>
        <w:jc w:val="both"/>
      </w:pPr>
      <w:r>
        <w:t xml:space="preserve">год рождения: </w:t>
      </w:r>
      <w:r w:rsidRPr="0084445E">
        <w:rPr>
          <w:rFonts w:ascii="Arial" w:eastAsiaTheme="minorHAnsi" w:hAnsi="Arial" w:cs="Arial"/>
          <w:b/>
          <w:bCs/>
          <w:i/>
          <w:iCs/>
          <w:lang w:eastAsia="en-US"/>
        </w:rPr>
        <w:t>19</w:t>
      </w:r>
      <w:r>
        <w:rPr>
          <w:rFonts w:ascii="Arial" w:eastAsiaTheme="minorHAnsi" w:hAnsi="Arial" w:cs="Arial"/>
          <w:b/>
          <w:bCs/>
          <w:i/>
          <w:iCs/>
          <w:lang w:eastAsia="en-US"/>
        </w:rPr>
        <w:t>55</w:t>
      </w:r>
    </w:p>
    <w:p w:rsidR="00434272" w:rsidRDefault="00434272" w:rsidP="00434272">
      <w:pPr>
        <w:pStyle w:val="ConsPlusNormal"/>
        <w:ind w:firstLine="567"/>
        <w:jc w:val="both"/>
        <w:rPr>
          <w:rFonts w:ascii="Times New Roman" w:hAnsi="Times New Roman" w:cs="Times New Roman"/>
        </w:rPr>
      </w:pPr>
      <w:r>
        <w:rPr>
          <w:rFonts w:ascii="Times New Roman" w:hAnsi="Times New Roman" w:cs="Times New Roman"/>
        </w:rPr>
        <w:t>сведения об образовании:</w:t>
      </w:r>
    </w:p>
    <w:p w:rsidR="00434272" w:rsidRDefault="00434272" w:rsidP="00434272">
      <w:pPr>
        <w:pStyle w:val="ConsPlusNormal"/>
        <w:ind w:firstLine="567"/>
        <w:jc w:val="both"/>
        <w:rPr>
          <w:b/>
          <w:bCs/>
          <w:i/>
          <w:iCs/>
        </w:rPr>
      </w:pPr>
      <w:r w:rsidRPr="0084445E">
        <w:rPr>
          <w:b/>
          <w:bCs/>
          <w:i/>
          <w:iCs/>
        </w:rPr>
        <w:t>1. Высшее профессиональное, Балашовское Высшее военно-авиационное училище летчиков, летчик-инженер.</w:t>
      </w:r>
    </w:p>
    <w:p w:rsidR="00434272" w:rsidRDefault="00434272" w:rsidP="00434272">
      <w:pPr>
        <w:pStyle w:val="ConsPlusNormal"/>
        <w:ind w:firstLine="567"/>
        <w:jc w:val="both"/>
        <w:rPr>
          <w:b/>
          <w:bCs/>
          <w:i/>
          <w:iCs/>
        </w:rPr>
      </w:pPr>
      <w:r w:rsidRPr="0084445E">
        <w:rPr>
          <w:b/>
          <w:bCs/>
          <w:i/>
          <w:iCs/>
        </w:rPr>
        <w:t>2. Высшее профессиональное, Военно-морская академия им. А.А. Гречко,  офицер с высшим военным образованием.</w:t>
      </w:r>
    </w:p>
    <w:p w:rsidR="00434272" w:rsidRDefault="00434272" w:rsidP="00434272">
      <w:pPr>
        <w:pStyle w:val="ConsPlusNormal"/>
        <w:ind w:firstLine="567"/>
        <w:jc w:val="both"/>
        <w:rPr>
          <w:b/>
          <w:bCs/>
          <w:i/>
          <w:iCs/>
        </w:rPr>
      </w:pPr>
      <w:r w:rsidRPr="0084445E">
        <w:rPr>
          <w:b/>
          <w:bCs/>
          <w:i/>
          <w:iCs/>
        </w:rPr>
        <w:t>3. Высшее профессиональное, Аспирантура при Военно-морской академии им. А.А. Гречко, к.в.н.</w:t>
      </w:r>
    </w:p>
    <w:p w:rsidR="00434272" w:rsidRDefault="00434272" w:rsidP="00434272">
      <w:pPr>
        <w:pStyle w:val="ConsPlusNormal"/>
        <w:ind w:firstLine="567"/>
        <w:jc w:val="both"/>
        <w:rPr>
          <w:b/>
          <w:bCs/>
          <w:i/>
          <w:iCs/>
        </w:rPr>
      </w:pPr>
      <w:r w:rsidRPr="0084445E">
        <w:rPr>
          <w:b/>
          <w:bCs/>
          <w:i/>
          <w:iCs/>
        </w:rPr>
        <w:t>4. Профессиональная переподготовка, СПБГАСУ, курс «Промышленное и гражданское строительство».</w:t>
      </w:r>
    </w:p>
    <w:p w:rsidR="00434272" w:rsidRPr="0084445E" w:rsidRDefault="00434272" w:rsidP="00434272">
      <w:pPr>
        <w:pStyle w:val="ConsPlusNormal"/>
        <w:ind w:firstLine="567"/>
        <w:jc w:val="both"/>
        <w:rPr>
          <w:b/>
          <w:bCs/>
          <w:i/>
          <w:iCs/>
        </w:rPr>
      </w:pPr>
      <w:r w:rsidRPr="0084445E">
        <w:rPr>
          <w:b/>
          <w:bCs/>
          <w:i/>
          <w:iCs/>
        </w:rPr>
        <w:t>5. Профессиональная переподготовка, СПБГАСУ, курс «Экономика и управление на предприятии строительства»</w:t>
      </w:r>
      <w:r w:rsidR="003A2721">
        <w:rPr>
          <w:b/>
          <w:bCs/>
          <w:i/>
          <w:iCs/>
        </w:rPr>
        <w:t>, доктор экономических наук</w:t>
      </w:r>
      <w:r w:rsidRPr="0084445E">
        <w:rPr>
          <w:b/>
          <w:bCs/>
          <w:i/>
          <w:iCs/>
        </w:rPr>
        <w:t>.</w:t>
      </w:r>
    </w:p>
    <w:p w:rsidR="00434272" w:rsidRDefault="00434272" w:rsidP="00434272">
      <w:pPr>
        <w:pStyle w:val="ConsPlusNormal"/>
        <w:ind w:firstLine="567"/>
        <w:jc w:val="both"/>
        <w:rPr>
          <w:rFonts w:ascii="Times New Roman" w:hAnsi="Times New Roman" w:cs="Times New Roman"/>
        </w:rPr>
      </w:pPr>
      <w:r>
        <w:rPr>
          <w:rFonts w:ascii="Times New Roman" w:hAnsi="Times New Roman" w:cs="Times New Roman"/>
        </w:rPr>
        <w:t>все должности, занимаемые таким лицом в эмитенте и других организациях за последние пять лет и в настоящее время в хронологическом порядке, в том числе по совместительству:</w:t>
      </w:r>
    </w:p>
    <w:p w:rsidR="00434272" w:rsidRDefault="00434272" w:rsidP="00434272">
      <w:pPr>
        <w:pStyle w:val="ThinDelim"/>
        <w:jc w:val="both"/>
        <w:rPr>
          <w:rFonts w:eastAsiaTheme="minorEastAsia"/>
          <w:szCs w:val="20"/>
        </w:rPr>
      </w:pPr>
    </w:p>
    <w:tbl>
      <w:tblPr>
        <w:tblW w:w="0" w:type="auto"/>
        <w:tblLayout w:type="fixed"/>
        <w:tblCellMar>
          <w:left w:w="72" w:type="dxa"/>
          <w:right w:w="72" w:type="dxa"/>
        </w:tblCellMar>
        <w:tblLook w:val="0000" w:firstRow="0" w:lastRow="0" w:firstColumn="0" w:lastColumn="0" w:noHBand="0" w:noVBand="0"/>
      </w:tblPr>
      <w:tblGrid>
        <w:gridCol w:w="1332"/>
        <w:gridCol w:w="1260"/>
        <w:gridCol w:w="3980"/>
        <w:gridCol w:w="2680"/>
      </w:tblGrid>
      <w:tr w:rsidR="00434272" w:rsidTr="00B972FD">
        <w:tc>
          <w:tcPr>
            <w:tcW w:w="2592" w:type="dxa"/>
            <w:gridSpan w:val="2"/>
            <w:tcBorders>
              <w:top w:val="doub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Период</w:t>
            </w:r>
          </w:p>
        </w:tc>
        <w:tc>
          <w:tcPr>
            <w:tcW w:w="3980" w:type="dxa"/>
            <w:tcBorders>
              <w:top w:val="doub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Наименование организации</w:t>
            </w:r>
          </w:p>
        </w:tc>
        <w:tc>
          <w:tcPr>
            <w:tcW w:w="2680" w:type="dxa"/>
            <w:tcBorders>
              <w:top w:val="doub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Должность</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с</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по</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2007</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ССМО "ЛенСпецСМУ"</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Генеральный директор, 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2009</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"УСР "Нулевик"</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"СПб МФТЦ"</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"ЛенСпецСМУ-Реконструкция"</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ОАО "СМУ "Электронстрой"</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"ЦУН"</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"ЗСМ "Эталон"</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"Новатор"</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"СервисГараж"</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3764B2" w:rsidP="00B972FD">
            <w:pPr>
              <w:jc w:val="both"/>
              <w:rPr>
                <w:rFonts w:ascii="Arial" w:eastAsiaTheme="minorEastAsia" w:hAnsi="Arial" w:cs="Arial"/>
                <w:b/>
                <w:i/>
              </w:rPr>
            </w:pPr>
            <w:r>
              <w:rPr>
                <w:rFonts w:ascii="Arial" w:eastAsiaTheme="minorEastAsia" w:hAnsi="Arial" w:cs="Arial"/>
                <w:b/>
                <w:i/>
              </w:rPr>
              <w:t>2015</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"ЭталонСтрой-РиО"</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«СУ-267»</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Председатель Наблюдательного совета</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"УПТК-ЛенСпецСМУ"</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2015</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"АКТИВ"</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"ЭталонПромстрой"</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"Электронстрой"</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"Сервис-Недвижимость"</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"ЭталонПроект"</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2013</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ОАО "Технологическое оснащение"</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2013</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ООО "УМ "Эталон"</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«Новатор»</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«УПТК-ЛенСпецСМУ»</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ООО "ЭталонПроект"</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"ЭталонПромстрой"</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ООО "ЛенСпецСМУ-Комфорт"</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2015</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ООО "ЭталонАктив"</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doub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2015</w:t>
            </w:r>
          </w:p>
        </w:tc>
        <w:tc>
          <w:tcPr>
            <w:tcW w:w="1260" w:type="dxa"/>
            <w:tcBorders>
              <w:top w:val="single" w:sz="6" w:space="0" w:color="auto"/>
              <w:left w:val="single" w:sz="6" w:space="0" w:color="auto"/>
              <w:bottom w:val="doub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doub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ООО "СМУ "Электронстрой-Эталон"</w:t>
            </w:r>
          </w:p>
        </w:tc>
        <w:tc>
          <w:tcPr>
            <w:tcW w:w="2680" w:type="dxa"/>
            <w:tcBorders>
              <w:top w:val="single" w:sz="6" w:space="0" w:color="auto"/>
              <w:left w:val="single" w:sz="6" w:space="0" w:color="auto"/>
              <w:bottom w:val="doub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член Совета директоров</w:t>
            </w:r>
          </w:p>
        </w:tc>
      </w:tr>
    </w:tbl>
    <w:p w:rsidR="00434272" w:rsidRDefault="00434272" w:rsidP="00434272">
      <w:pPr>
        <w:pStyle w:val="ThinDelim"/>
        <w:jc w:val="both"/>
        <w:rPr>
          <w:rFonts w:eastAsiaTheme="minorEastAsia"/>
          <w:szCs w:val="20"/>
        </w:rPr>
      </w:pPr>
    </w:p>
    <w:p w:rsidR="00434272" w:rsidRPr="0020025F" w:rsidRDefault="00434272" w:rsidP="00434272">
      <w:pPr>
        <w:pStyle w:val="ConsPlusNormal"/>
        <w:ind w:firstLine="540"/>
        <w:jc w:val="both"/>
        <w:rPr>
          <w:b/>
          <w:i/>
        </w:rPr>
      </w:pPr>
      <w:r>
        <w:rPr>
          <w:rFonts w:ascii="Times New Roman" w:hAnsi="Times New Roman" w:cs="Times New Roman"/>
        </w:rPr>
        <w:t xml:space="preserve">доля участия такого лица в уставном капитале эмитента, являющегося коммерческой организацией: </w:t>
      </w:r>
      <w:r w:rsidRPr="0020025F">
        <w:rPr>
          <w:b/>
          <w:i/>
        </w:rPr>
        <w:t>доли не имеет</w:t>
      </w:r>
    </w:p>
    <w:p w:rsidR="00434272" w:rsidRDefault="00434272" w:rsidP="00434272">
      <w:pPr>
        <w:pStyle w:val="ConsPlusNormal"/>
        <w:ind w:firstLine="540"/>
        <w:jc w:val="both"/>
        <w:rPr>
          <w:rFonts w:ascii="Times New Roman" w:hAnsi="Times New Roman" w:cs="Times New Roman"/>
        </w:rPr>
      </w:pPr>
      <w:r>
        <w:rPr>
          <w:rFonts w:ascii="Times New Roman" w:hAnsi="Times New Roman" w:cs="Times New Roman"/>
        </w:rPr>
        <w:t>доля принадлежащих такому лицу обыкновенных акций эмитента:</w:t>
      </w:r>
      <w:r w:rsidRPr="003E1D7E">
        <w:rPr>
          <w:b/>
          <w:i/>
        </w:rPr>
        <w:t xml:space="preserve"> </w:t>
      </w:r>
      <w:r w:rsidRPr="0020025F">
        <w:rPr>
          <w:b/>
          <w:i/>
        </w:rPr>
        <w:t>доли не имеет</w:t>
      </w:r>
    </w:p>
    <w:p w:rsidR="00434272" w:rsidRPr="003E1D7E" w:rsidRDefault="00434272" w:rsidP="00434272">
      <w:pPr>
        <w:pStyle w:val="ConsPlusNormal"/>
        <w:ind w:firstLine="540"/>
        <w:jc w:val="both"/>
        <w:rPr>
          <w:b/>
          <w:i/>
        </w:rPr>
      </w:pPr>
      <w:r>
        <w:rPr>
          <w:rFonts w:ascii="Times New Roman" w:hAnsi="Times New Roman" w:cs="Times New Roman"/>
        </w:rPr>
        <w:t xml:space="preserve">количество акций эмитента каждой категории (типа), которые могут быть приобретены таким лицом в результате осуществления прав по принадлежащим ему опционам эмитента: </w:t>
      </w:r>
      <w:r w:rsidRPr="003E1D7E">
        <w:rPr>
          <w:b/>
          <w:i/>
        </w:rPr>
        <w:t>0 штук</w:t>
      </w:r>
    </w:p>
    <w:p w:rsidR="00434272" w:rsidRDefault="00434272" w:rsidP="00434272">
      <w:pPr>
        <w:pStyle w:val="ConsPlusNormal"/>
        <w:ind w:firstLine="540"/>
        <w:jc w:val="both"/>
        <w:rPr>
          <w:rFonts w:ascii="Times New Roman" w:hAnsi="Times New Roman" w:cs="Times New Roman"/>
        </w:rPr>
      </w:pPr>
      <w:r>
        <w:rPr>
          <w:rFonts w:ascii="Times New Roman" w:hAnsi="Times New Roman" w:cs="Times New Roman"/>
        </w:rPr>
        <w:t xml:space="preserve">доля участия такого лица в уставном капитале дочерних и зависимых обществ эмитента: </w:t>
      </w:r>
      <w:r w:rsidRPr="0020025F">
        <w:rPr>
          <w:b/>
          <w:i/>
        </w:rPr>
        <w:t>доли не имеет</w:t>
      </w:r>
    </w:p>
    <w:p w:rsidR="00434272" w:rsidRDefault="00434272" w:rsidP="00434272">
      <w:pPr>
        <w:pStyle w:val="ConsPlusNormal"/>
        <w:ind w:firstLine="540"/>
        <w:jc w:val="both"/>
        <w:rPr>
          <w:rFonts w:ascii="Times New Roman" w:hAnsi="Times New Roman" w:cs="Times New Roman"/>
        </w:rPr>
      </w:pPr>
      <w:r>
        <w:rPr>
          <w:rFonts w:ascii="Times New Roman" w:hAnsi="Times New Roman" w:cs="Times New Roman"/>
        </w:rPr>
        <w:t xml:space="preserve">доля принадлежащих такому лицу обыкновенных акций дочернего или зависимого общества эмитента и количества акций дочернего или зависимого общества эмитента каждой категории (типа), которые могут быть приобретены таким лицом в результате осуществления прав по принадлежащим ему опционам дочернего или зависимого общества эмитента: </w:t>
      </w:r>
      <w:r w:rsidRPr="0020025F">
        <w:rPr>
          <w:b/>
          <w:i/>
        </w:rPr>
        <w:t>доли не имеет</w:t>
      </w:r>
    </w:p>
    <w:p w:rsidR="00434272" w:rsidRPr="0020025F" w:rsidRDefault="00434272" w:rsidP="00434272">
      <w:pPr>
        <w:ind w:firstLine="540"/>
        <w:jc w:val="both"/>
        <w:rPr>
          <w:rFonts w:ascii="Arial" w:eastAsiaTheme="minorHAnsi" w:hAnsi="Arial" w:cs="Arial"/>
          <w:b/>
          <w:i/>
          <w:lang w:eastAsia="en-US"/>
        </w:rPr>
      </w:pPr>
      <w:r>
        <w:t xml:space="preserve">характер любых родственных связей с лицами, входящими в состав органов управления эмитента и (или) органов контроля за финансово-хозяйственной деятельностью эмитента: </w:t>
      </w:r>
      <w:r w:rsidRPr="0020025F">
        <w:rPr>
          <w:rFonts w:ascii="Arial" w:eastAsiaTheme="minorHAnsi" w:hAnsi="Arial" w:cs="Arial"/>
          <w:b/>
          <w:i/>
          <w:lang w:eastAsia="en-US"/>
        </w:rPr>
        <w:t>Указанных родственных связей нет</w:t>
      </w:r>
    </w:p>
    <w:p w:rsidR="00434272" w:rsidRPr="0020025F" w:rsidRDefault="00434272" w:rsidP="00434272">
      <w:pPr>
        <w:ind w:firstLine="540"/>
        <w:jc w:val="both"/>
        <w:rPr>
          <w:rFonts w:ascii="Arial" w:eastAsiaTheme="minorHAnsi" w:hAnsi="Arial" w:cs="Arial"/>
          <w:b/>
          <w:i/>
          <w:lang w:eastAsia="en-US"/>
        </w:rPr>
      </w:pPr>
      <w:r>
        <w:t xml:space="preserve">сведения о привлечении к административной ответственности за правонарушения в области финансов, налогов и сборов, рынка ценных бумаг или уголовной ответственности (наличии судимости) за преступления в сфере экономики и (или) за преступления против государственной власти: </w:t>
      </w:r>
      <w:r w:rsidRPr="0020025F">
        <w:rPr>
          <w:rFonts w:ascii="Arial" w:eastAsiaTheme="minorHAnsi" w:hAnsi="Arial" w:cs="Arial"/>
          <w:b/>
          <w:i/>
          <w:lang w:eastAsia="en-US"/>
        </w:rPr>
        <w:t>Лицо к указанным видам ответственности не привлекалось</w:t>
      </w:r>
    </w:p>
    <w:p w:rsidR="00434272" w:rsidRDefault="00434272" w:rsidP="00434272">
      <w:pPr>
        <w:ind w:firstLine="540"/>
        <w:jc w:val="both"/>
        <w:rPr>
          <w:rFonts w:eastAsiaTheme="minorEastAsia"/>
        </w:rPr>
      </w:pPr>
      <w:r>
        <w:t xml:space="preserve">сведения о занятии должностей в органах управления коммерческих организаций в период, когда в отношении указанных организаций было возбуждено дело о банкротстве и (или) введена одна из процедур банкротства, предусмотренных законодательством Российской Федерации о несостоятельности (банкротстве): </w:t>
      </w:r>
      <w:r w:rsidRPr="0020025F">
        <w:rPr>
          <w:rFonts w:ascii="Arial" w:eastAsiaTheme="minorHAnsi" w:hAnsi="Arial" w:cs="Arial"/>
          <w:b/>
          <w:i/>
          <w:lang w:eastAsia="en-US"/>
        </w:rPr>
        <w:t>Лицо указанных должностей не занимало</w:t>
      </w:r>
    </w:p>
    <w:p w:rsidR="00434272" w:rsidRDefault="00434272" w:rsidP="00434272">
      <w:pPr>
        <w:pStyle w:val="ConsPlusNormal"/>
        <w:ind w:firstLine="567"/>
        <w:jc w:val="both"/>
        <w:rPr>
          <w:rFonts w:ascii="Times New Roman" w:hAnsi="Times New Roman" w:cs="Times New Roman"/>
        </w:rPr>
      </w:pPr>
      <w:r>
        <w:rPr>
          <w:rFonts w:ascii="Times New Roman" w:hAnsi="Times New Roman" w:cs="Times New Roman"/>
        </w:rPr>
        <w:t xml:space="preserve">По каждому члену совета директоров (наблюдательного совета) эмитента дополнительно указываются сведения об участии (член комитета, председатель комитета) в работе комитетов совета директоров (наблюдательного совета) с указанием названия комитета (комитетов): </w:t>
      </w:r>
      <w:r>
        <w:rPr>
          <w:b/>
          <w:bCs/>
          <w:i/>
          <w:iCs/>
        </w:rPr>
        <w:t xml:space="preserve">не участвует </w:t>
      </w:r>
      <w:r>
        <w:rPr>
          <w:rFonts w:ascii="Times New Roman" w:hAnsi="Times New Roman" w:cs="Times New Roman"/>
        </w:rPr>
        <w:t xml:space="preserve">Приводятся также сведения о членах совета директоров (наблюдательного совета), которых эмитент считает независимыми: </w:t>
      </w:r>
      <w:r>
        <w:rPr>
          <w:b/>
          <w:bCs/>
          <w:i/>
          <w:iCs/>
        </w:rPr>
        <w:t>не является независимым директором</w:t>
      </w:r>
    </w:p>
    <w:p w:rsidR="00A06BCF" w:rsidRDefault="00A06BCF" w:rsidP="00434272">
      <w:pPr>
        <w:ind w:firstLine="567"/>
        <w:jc w:val="both"/>
      </w:pPr>
    </w:p>
    <w:p w:rsidR="00434272" w:rsidRPr="0084445E" w:rsidRDefault="00434272" w:rsidP="00434272">
      <w:pPr>
        <w:ind w:firstLine="567"/>
        <w:jc w:val="both"/>
        <w:rPr>
          <w:rFonts w:ascii="Arial" w:eastAsiaTheme="minorHAnsi" w:hAnsi="Arial" w:cs="Arial"/>
          <w:b/>
          <w:bCs/>
          <w:i/>
          <w:iCs/>
          <w:lang w:eastAsia="en-US"/>
        </w:rPr>
      </w:pPr>
      <w:r>
        <w:t>5. фамилия, имя, отчество:</w:t>
      </w:r>
      <w:r w:rsidRPr="009D1CD4">
        <w:rPr>
          <w:rFonts w:eastAsiaTheme="minorEastAsia"/>
        </w:rPr>
        <w:t xml:space="preserve"> </w:t>
      </w:r>
      <w:r w:rsidRPr="00BD5BFD">
        <w:rPr>
          <w:rFonts w:ascii="Arial" w:eastAsiaTheme="minorHAnsi" w:hAnsi="Arial" w:cs="Arial"/>
          <w:b/>
          <w:bCs/>
          <w:i/>
          <w:iCs/>
          <w:lang w:eastAsia="en-US"/>
        </w:rPr>
        <w:t>Кашинский Дмитрий Борисович</w:t>
      </w:r>
    </w:p>
    <w:p w:rsidR="00434272" w:rsidRDefault="00434272" w:rsidP="00434272">
      <w:pPr>
        <w:ind w:firstLine="567"/>
        <w:jc w:val="both"/>
      </w:pPr>
      <w:r>
        <w:t xml:space="preserve">год рождения: </w:t>
      </w:r>
      <w:r w:rsidRPr="0084445E">
        <w:rPr>
          <w:rFonts w:ascii="Arial" w:eastAsiaTheme="minorHAnsi" w:hAnsi="Arial" w:cs="Arial"/>
          <w:b/>
          <w:bCs/>
          <w:i/>
          <w:iCs/>
          <w:lang w:eastAsia="en-US"/>
        </w:rPr>
        <w:t>19</w:t>
      </w:r>
      <w:r>
        <w:rPr>
          <w:rFonts w:ascii="Arial" w:eastAsiaTheme="minorHAnsi" w:hAnsi="Arial" w:cs="Arial"/>
          <w:b/>
          <w:bCs/>
          <w:i/>
          <w:iCs/>
          <w:lang w:eastAsia="en-US"/>
        </w:rPr>
        <w:t>71</w:t>
      </w:r>
    </w:p>
    <w:p w:rsidR="00434272" w:rsidRDefault="00434272" w:rsidP="00434272">
      <w:pPr>
        <w:pStyle w:val="ConsPlusNormal"/>
        <w:ind w:firstLine="567"/>
        <w:jc w:val="both"/>
        <w:rPr>
          <w:rFonts w:ascii="Times New Roman" w:hAnsi="Times New Roman" w:cs="Times New Roman"/>
        </w:rPr>
      </w:pPr>
      <w:r>
        <w:rPr>
          <w:rFonts w:ascii="Times New Roman" w:hAnsi="Times New Roman" w:cs="Times New Roman"/>
        </w:rPr>
        <w:t>сведения об образовании:</w:t>
      </w:r>
    </w:p>
    <w:p w:rsidR="00434272" w:rsidRPr="00BD5BFD" w:rsidRDefault="00434272" w:rsidP="00434272">
      <w:pPr>
        <w:ind w:firstLine="567"/>
        <w:jc w:val="both"/>
        <w:rPr>
          <w:rFonts w:ascii="Arial" w:eastAsiaTheme="minorHAnsi" w:hAnsi="Arial" w:cs="Arial"/>
          <w:b/>
          <w:bCs/>
          <w:i/>
          <w:iCs/>
          <w:lang w:eastAsia="en-US"/>
        </w:rPr>
      </w:pPr>
      <w:r w:rsidRPr="00BD5BFD">
        <w:rPr>
          <w:rFonts w:ascii="Arial" w:eastAsiaTheme="minorHAnsi" w:hAnsi="Arial" w:cs="Arial"/>
          <w:b/>
          <w:bCs/>
          <w:i/>
          <w:iCs/>
          <w:lang w:eastAsia="en-US"/>
        </w:rPr>
        <w:t>высшее, Московский авиационный институт имени Серго Орджоникидзе, инженер-математик.</w:t>
      </w:r>
    </w:p>
    <w:p w:rsidR="00434272" w:rsidRDefault="00434272" w:rsidP="00434272">
      <w:pPr>
        <w:pStyle w:val="ConsPlusNormal"/>
        <w:ind w:firstLine="567"/>
        <w:jc w:val="both"/>
        <w:rPr>
          <w:rFonts w:ascii="Times New Roman" w:hAnsi="Times New Roman" w:cs="Times New Roman"/>
        </w:rPr>
      </w:pPr>
      <w:r>
        <w:rPr>
          <w:rFonts w:ascii="Times New Roman" w:hAnsi="Times New Roman" w:cs="Times New Roman"/>
        </w:rPr>
        <w:t>все должности, занимаемые таким лицом в эмитенте и других организациях за последние пять лет и в настоящее время в хронологическом порядке, в том числе по совместительству:</w:t>
      </w:r>
    </w:p>
    <w:p w:rsidR="00434272" w:rsidRDefault="00434272" w:rsidP="00434272">
      <w:pPr>
        <w:pStyle w:val="ThinDelim"/>
        <w:jc w:val="both"/>
        <w:rPr>
          <w:rFonts w:eastAsiaTheme="minorEastAsia"/>
          <w:szCs w:val="20"/>
        </w:rPr>
      </w:pPr>
    </w:p>
    <w:tbl>
      <w:tblPr>
        <w:tblW w:w="0" w:type="auto"/>
        <w:tblLayout w:type="fixed"/>
        <w:tblCellMar>
          <w:left w:w="72" w:type="dxa"/>
          <w:right w:w="72" w:type="dxa"/>
        </w:tblCellMar>
        <w:tblLook w:val="0000" w:firstRow="0" w:lastRow="0" w:firstColumn="0" w:lastColumn="0" w:noHBand="0" w:noVBand="0"/>
      </w:tblPr>
      <w:tblGrid>
        <w:gridCol w:w="1332"/>
        <w:gridCol w:w="1260"/>
        <w:gridCol w:w="3980"/>
        <w:gridCol w:w="2680"/>
      </w:tblGrid>
      <w:tr w:rsidR="00434272" w:rsidTr="00B972FD">
        <w:tc>
          <w:tcPr>
            <w:tcW w:w="2592" w:type="dxa"/>
            <w:gridSpan w:val="2"/>
            <w:tcBorders>
              <w:top w:val="double" w:sz="6" w:space="0" w:color="auto"/>
              <w:left w:val="doub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Период</w:t>
            </w:r>
          </w:p>
        </w:tc>
        <w:tc>
          <w:tcPr>
            <w:tcW w:w="3980" w:type="dxa"/>
            <w:tcBorders>
              <w:top w:val="doub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Наименование организации</w:t>
            </w:r>
          </w:p>
        </w:tc>
        <w:tc>
          <w:tcPr>
            <w:tcW w:w="2680" w:type="dxa"/>
            <w:tcBorders>
              <w:top w:val="double" w:sz="6" w:space="0" w:color="auto"/>
              <w:left w:val="single" w:sz="6" w:space="0" w:color="auto"/>
              <w:bottom w:val="single" w:sz="6" w:space="0" w:color="auto"/>
              <w:right w:val="doub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Должность</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с</w:t>
            </w:r>
          </w:p>
        </w:tc>
        <w:tc>
          <w:tcPr>
            <w:tcW w:w="126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по</w:t>
            </w:r>
          </w:p>
        </w:tc>
        <w:tc>
          <w:tcPr>
            <w:tcW w:w="398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p>
        </w:tc>
        <w:tc>
          <w:tcPr>
            <w:tcW w:w="2680" w:type="dxa"/>
            <w:tcBorders>
              <w:top w:val="single" w:sz="6" w:space="0" w:color="auto"/>
              <w:left w:val="single" w:sz="6" w:space="0" w:color="auto"/>
              <w:bottom w:val="single" w:sz="6" w:space="0" w:color="auto"/>
              <w:right w:val="double" w:sz="6" w:space="0" w:color="auto"/>
            </w:tcBorders>
          </w:tcPr>
          <w:p w:rsidR="00434272" w:rsidRPr="00BD5BFD" w:rsidRDefault="00434272" w:rsidP="00B972FD">
            <w:pPr>
              <w:jc w:val="both"/>
              <w:rPr>
                <w:rFonts w:ascii="Arial" w:eastAsiaTheme="minorEastAsia" w:hAnsi="Arial" w:cs="Arial"/>
                <w:b/>
                <w:i/>
              </w:rPr>
            </w:pP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2010</w:t>
            </w:r>
          </w:p>
        </w:tc>
        <w:tc>
          <w:tcPr>
            <w:tcW w:w="126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2011</w:t>
            </w:r>
          </w:p>
        </w:tc>
        <w:tc>
          <w:tcPr>
            <w:tcW w:w="398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ООО "Центральное управление проектами"</w:t>
            </w:r>
          </w:p>
        </w:tc>
        <w:tc>
          <w:tcPr>
            <w:tcW w:w="2680" w:type="dxa"/>
            <w:tcBorders>
              <w:top w:val="single" w:sz="6" w:space="0" w:color="auto"/>
              <w:left w:val="single" w:sz="6" w:space="0" w:color="auto"/>
              <w:bottom w:val="single" w:sz="6" w:space="0" w:color="auto"/>
              <w:right w:val="doub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Генеральный директор</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2011</w:t>
            </w:r>
          </w:p>
        </w:tc>
        <w:tc>
          <w:tcPr>
            <w:tcW w:w="126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ЗАО "Управляющая компания "Эталон"</w:t>
            </w:r>
          </w:p>
        </w:tc>
        <w:tc>
          <w:tcPr>
            <w:tcW w:w="2680" w:type="dxa"/>
            <w:tcBorders>
              <w:top w:val="single" w:sz="6" w:space="0" w:color="auto"/>
              <w:left w:val="single" w:sz="6" w:space="0" w:color="auto"/>
              <w:bottom w:val="single" w:sz="6" w:space="0" w:color="auto"/>
              <w:right w:val="doub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Заместитель Генерального директора</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ЗАО "ЭталонПроект"</w:t>
            </w:r>
          </w:p>
        </w:tc>
        <w:tc>
          <w:tcPr>
            <w:tcW w:w="2680" w:type="dxa"/>
            <w:tcBorders>
              <w:top w:val="single" w:sz="6" w:space="0" w:color="auto"/>
              <w:left w:val="single" w:sz="6" w:space="0" w:color="auto"/>
              <w:bottom w:val="single" w:sz="6" w:space="0" w:color="auto"/>
              <w:right w:val="doub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ЗАО "ЭталонПромстрой"</w:t>
            </w:r>
          </w:p>
        </w:tc>
        <w:tc>
          <w:tcPr>
            <w:tcW w:w="2680" w:type="dxa"/>
            <w:tcBorders>
              <w:top w:val="single" w:sz="6" w:space="0" w:color="auto"/>
              <w:left w:val="single" w:sz="6" w:space="0" w:color="auto"/>
              <w:bottom w:val="single" w:sz="6" w:space="0" w:color="auto"/>
              <w:right w:val="doub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ЗАО "Электронстрой"</w:t>
            </w:r>
          </w:p>
        </w:tc>
        <w:tc>
          <w:tcPr>
            <w:tcW w:w="2680" w:type="dxa"/>
            <w:tcBorders>
              <w:top w:val="single" w:sz="6" w:space="0" w:color="auto"/>
              <w:left w:val="single" w:sz="6" w:space="0" w:color="auto"/>
              <w:bottom w:val="single" w:sz="6" w:space="0" w:color="auto"/>
              <w:right w:val="doub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ЗАО "УСР "Нулевик"</w:t>
            </w:r>
          </w:p>
        </w:tc>
        <w:tc>
          <w:tcPr>
            <w:tcW w:w="2680" w:type="dxa"/>
            <w:tcBorders>
              <w:top w:val="single" w:sz="6" w:space="0" w:color="auto"/>
              <w:left w:val="single" w:sz="6" w:space="0" w:color="auto"/>
              <w:bottom w:val="single" w:sz="6" w:space="0" w:color="auto"/>
              <w:right w:val="doub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ЗАО "УПТК-ЛенСпецСМУ"</w:t>
            </w:r>
          </w:p>
        </w:tc>
        <w:tc>
          <w:tcPr>
            <w:tcW w:w="2680" w:type="dxa"/>
            <w:tcBorders>
              <w:top w:val="single" w:sz="6" w:space="0" w:color="auto"/>
              <w:left w:val="single" w:sz="6" w:space="0" w:color="auto"/>
              <w:bottom w:val="single" w:sz="6" w:space="0" w:color="auto"/>
              <w:right w:val="doub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2015</w:t>
            </w:r>
          </w:p>
        </w:tc>
        <w:tc>
          <w:tcPr>
            <w:tcW w:w="398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ЗАО "АКТИВ"</w:t>
            </w:r>
          </w:p>
        </w:tc>
        <w:tc>
          <w:tcPr>
            <w:tcW w:w="2680" w:type="dxa"/>
            <w:tcBorders>
              <w:top w:val="single" w:sz="6" w:space="0" w:color="auto"/>
              <w:left w:val="single" w:sz="6" w:space="0" w:color="auto"/>
              <w:bottom w:val="single" w:sz="6" w:space="0" w:color="auto"/>
              <w:right w:val="doub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BD5BFD" w:rsidRDefault="003764B2" w:rsidP="00B972FD">
            <w:pPr>
              <w:jc w:val="both"/>
              <w:rPr>
                <w:rFonts w:ascii="Arial" w:eastAsiaTheme="minorEastAsia" w:hAnsi="Arial" w:cs="Arial"/>
                <w:b/>
                <w:i/>
              </w:rPr>
            </w:pPr>
            <w:r>
              <w:rPr>
                <w:rFonts w:ascii="Arial" w:eastAsiaTheme="minorEastAsia" w:hAnsi="Arial" w:cs="Arial"/>
                <w:b/>
                <w:i/>
              </w:rPr>
              <w:t>2015</w:t>
            </w:r>
          </w:p>
        </w:tc>
        <w:tc>
          <w:tcPr>
            <w:tcW w:w="398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ЗАО "ЭталонСтрой-РиО"</w:t>
            </w:r>
          </w:p>
        </w:tc>
        <w:tc>
          <w:tcPr>
            <w:tcW w:w="2680" w:type="dxa"/>
            <w:tcBorders>
              <w:top w:val="single" w:sz="6" w:space="0" w:color="auto"/>
              <w:left w:val="single" w:sz="6" w:space="0" w:color="auto"/>
              <w:bottom w:val="single" w:sz="6" w:space="0" w:color="auto"/>
              <w:right w:val="doub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ОАО «Эталон-Инвест»</w:t>
            </w:r>
          </w:p>
        </w:tc>
        <w:tc>
          <w:tcPr>
            <w:tcW w:w="2680" w:type="dxa"/>
            <w:tcBorders>
              <w:top w:val="single" w:sz="6" w:space="0" w:color="auto"/>
              <w:left w:val="single" w:sz="6" w:space="0" w:color="auto"/>
              <w:bottom w:val="single" w:sz="6" w:space="0" w:color="auto"/>
              <w:right w:val="doub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ООО "Эталон-Инвест"</w:t>
            </w:r>
          </w:p>
        </w:tc>
        <w:tc>
          <w:tcPr>
            <w:tcW w:w="2680" w:type="dxa"/>
            <w:tcBorders>
              <w:top w:val="single" w:sz="6" w:space="0" w:color="auto"/>
              <w:left w:val="single" w:sz="6" w:space="0" w:color="auto"/>
              <w:bottom w:val="single" w:sz="6" w:space="0" w:color="auto"/>
              <w:right w:val="doub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ЗАО «Сервис-Недвижимость»</w:t>
            </w:r>
          </w:p>
        </w:tc>
        <w:tc>
          <w:tcPr>
            <w:tcW w:w="2680" w:type="dxa"/>
            <w:tcBorders>
              <w:top w:val="single" w:sz="6" w:space="0" w:color="auto"/>
              <w:left w:val="single" w:sz="6" w:space="0" w:color="auto"/>
              <w:bottom w:val="single" w:sz="6" w:space="0" w:color="auto"/>
              <w:right w:val="doub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ЗАО «СУ-267»</w:t>
            </w:r>
          </w:p>
        </w:tc>
        <w:tc>
          <w:tcPr>
            <w:tcW w:w="2680" w:type="dxa"/>
            <w:tcBorders>
              <w:top w:val="single" w:sz="6" w:space="0" w:color="auto"/>
              <w:left w:val="single" w:sz="6" w:space="0" w:color="auto"/>
              <w:bottom w:val="single" w:sz="6" w:space="0" w:color="auto"/>
              <w:right w:val="doub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член Наблюдательного совета</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ОАО "СМУ "Электронстрой"</w:t>
            </w:r>
          </w:p>
        </w:tc>
        <w:tc>
          <w:tcPr>
            <w:tcW w:w="2680" w:type="dxa"/>
            <w:tcBorders>
              <w:top w:val="single" w:sz="6" w:space="0" w:color="auto"/>
              <w:left w:val="single" w:sz="6" w:space="0" w:color="auto"/>
              <w:bottom w:val="single" w:sz="6" w:space="0" w:color="auto"/>
              <w:right w:val="doub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ЗАО "ЗСМ "Эталон"</w:t>
            </w:r>
          </w:p>
        </w:tc>
        <w:tc>
          <w:tcPr>
            <w:tcW w:w="2680" w:type="dxa"/>
            <w:tcBorders>
              <w:top w:val="single" w:sz="6" w:space="0" w:color="auto"/>
              <w:left w:val="single" w:sz="6" w:space="0" w:color="auto"/>
              <w:bottom w:val="single" w:sz="6" w:space="0" w:color="auto"/>
              <w:right w:val="doub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ЗАО "СПб МФТЦ"</w:t>
            </w:r>
          </w:p>
        </w:tc>
        <w:tc>
          <w:tcPr>
            <w:tcW w:w="2680" w:type="dxa"/>
            <w:tcBorders>
              <w:top w:val="single" w:sz="6" w:space="0" w:color="auto"/>
              <w:left w:val="single" w:sz="6" w:space="0" w:color="auto"/>
              <w:bottom w:val="single" w:sz="6" w:space="0" w:color="auto"/>
              <w:right w:val="doub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ЗАО ССМО "ЛенСпецСМУ"</w:t>
            </w:r>
          </w:p>
        </w:tc>
        <w:tc>
          <w:tcPr>
            <w:tcW w:w="2680" w:type="dxa"/>
            <w:tcBorders>
              <w:top w:val="single" w:sz="6" w:space="0" w:color="auto"/>
              <w:left w:val="single" w:sz="6" w:space="0" w:color="auto"/>
              <w:bottom w:val="single" w:sz="6" w:space="0" w:color="auto"/>
              <w:right w:val="doub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ЗАО "ЦУН"</w:t>
            </w:r>
          </w:p>
        </w:tc>
        <w:tc>
          <w:tcPr>
            <w:tcW w:w="2680" w:type="dxa"/>
            <w:tcBorders>
              <w:top w:val="single" w:sz="6" w:space="0" w:color="auto"/>
              <w:left w:val="single" w:sz="6" w:space="0" w:color="auto"/>
              <w:bottom w:val="single" w:sz="6" w:space="0" w:color="auto"/>
              <w:right w:val="doub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ЗАО "Управляющая компания "Эталон"</w:t>
            </w:r>
          </w:p>
        </w:tc>
        <w:tc>
          <w:tcPr>
            <w:tcW w:w="2680" w:type="dxa"/>
            <w:tcBorders>
              <w:top w:val="single" w:sz="6" w:space="0" w:color="auto"/>
              <w:left w:val="single" w:sz="6" w:space="0" w:color="auto"/>
              <w:bottom w:val="single" w:sz="6" w:space="0" w:color="auto"/>
              <w:right w:val="doub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ЗАО "Новатор"</w:t>
            </w:r>
          </w:p>
        </w:tc>
        <w:tc>
          <w:tcPr>
            <w:tcW w:w="2680" w:type="dxa"/>
            <w:tcBorders>
              <w:top w:val="single" w:sz="6" w:space="0" w:color="auto"/>
              <w:left w:val="single" w:sz="6" w:space="0" w:color="auto"/>
              <w:bottom w:val="single" w:sz="6" w:space="0" w:color="auto"/>
              <w:right w:val="doub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ЗАО "ЛенСпецСМУ-Реконструкция"</w:t>
            </w:r>
          </w:p>
        </w:tc>
        <w:tc>
          <w:tcPr>
            <w:tcW w:w="2680" w:type="dxa"/>
            <w:tcBorders>
              <w:top w:val="single" w:sz="6" w:space="0" w:color="auto"/>
              <w:left w:val="single" w:sz="6" w:space="0" w:color="auto"/>
              <w:bottom w:val="single" w:sz="6" w:space="0" w:color="auto"/>
              <w:right w:val="doub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ЗАО "СервисГараж"</w:t>
            </w:r>
          </w:p>
        </w:tc>
        <w:tc>
          <w:tcPr>
            <w:tcW w:w="2680" w:type="dxa"/>
            <w:tcBorders>
              <w:top w:val="single" w:sz="6" w:space="0" w:color="auto"/>
              <w:left w:val="single" w:sz="6" w:space="0" w:color="auto"/>
              <w:bottom w:val="single" w:sz="6" w:space="0" w:color="auto"/>
              <w:right w:val="doub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ООО «СПМ-жилстрой»</w:t>
            </w:r>
          </w:p>
        </w:tc>
        <w:tc>
          <w:tcPr>
            <w:tcW w:w="2680" w:type="dxa"/>
            <w:tcBorders>
              <w:top w:val="single" w:sz="6" w:space="0" w:color="auto"/>
              <w:left w:val="single" w:sz="6" w:space="0" w:color="auto"/>
              <w:bottom w:val="single" w:sz="6" w:space="0" w:color="auto"/>
              <w:right w:val="doub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2013</w:t>
            </w:r>
          </w:p>
        </w:tc>
        <w:tc>
          <w:tcPr>
            <w:tcW w:w="126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ОАО "Технологическое оснащение"</w:t>
            </w:r>
          </w:p>
        </w:tc>
        <w:tc>
          <w:tcPr>
            <w:tcW w:w="2680" w:type="dxa"/>
            <w:tcBorders>
              <w:top w:val="single" w:sz="6" w:space="0" w:color="auto"/>
              <w:left w:val="single" w:sz="6" w:space="0" w:color="auto"/>
              <w:bottom w:val="single" w:sz="6" w:space="0" w:color="auto"/>
              <w:right w:val="doub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2013</w:t>
            </w:r>
          </w:p>
        </w:tc>
        <w:tc>
          <w:tcPr>
            <w:tcW w:w="126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ООО "УМ "Эталон"</w:t>
            </w:r>
          </w:p>
        </w:tc>
        <w:tc>
          <w:tcPr>
            <w:tcW w:w="2680" w:type="dxa"/>
            <w:tcBorders>
              <w:top w:val="single" w:sz="6" w:space="0" w:color="auto"/>
              <w:left w:val="single" w:sz="6" w:space="0" w:color="auto"/>
              <w:bottom w:val="single" w:sz="6" w:space="0" w:color="auto"/>
              <w:right w:val="doub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ЗАО "ГК "Эталон"</w:t>
            </w:r>
          </w:p>
        </w:tc>
        <w:tc>
          <w:tcPr>
            <w:tcW w:w="2680" w:type="dxa"/>
            <w:tcBorders>
              <w:top w:val="single" w:sz="6" w:space="0" w:color="auto"/>
              <w:left w:val="single" w:sz="6" w:space="0" w:color="auto"/>
              <w:bottom w:val="single" w:sz="6" w:space="0" w:color="auto"/>
              <w:right w:val="doub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Заместитель Генерального директора</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ЗАО "ГК "Эталон"</w:t>
            </w:r>
          </w:p>
        </w:tc>
        <w:tc>
          <w:tcPr>
            <w:tcW w:w="2680" w:type="dxa"/>
            <w:tcBorders>
              <w:top w:val="single" w:sz="6" w:space="0" w:color="auto"/>
              <w:left w:val="single" w:sz="6" w:space="0" w:color="auto"/>
              <w:bottom w:val="single" w:sz="6" w:space="0" w:color="auto"/>
              <w:right w:val="doub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ООО "ЭталонПроект"</w:t>
            </w:r>
          </w:p>
        </w:tc>
        <w:tc>
          <w:tcPr>
            <w:tcW w:w="2680" w:type="dxa"/>
            <w:tcBorders>
              <w:top w:val="single" w:sz="6" w:space="0" w:color="auto"/>
              <w:left w:val="single" w:sz="6" w:space="0" w:color="auto"/>
              <w:bottom w:val="single" w:sz="6" w:space="0" w:color="auto"/>
              <w:right w:val="doub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ОАО "Летний сад"</w:t>
            </w:r>
          </w:p>
        </w:tc>
        <w:tc>
          <w:tcPr>
            <w:tcW w:w="2680" w:type="dxa"/>
            <w:tcBorders>
              <w:top w:val="single" w:sz="6" w:space="0" w:color="auto"/>
              <w:left w:val="single" w:sz="6" w:space="0" w:color="auto"/>
              <w:bottom w:val="single" w:sz="6" w:space="0" w:color="auto"/>
              <w:right w:val="doub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ЗАО "ЭталонПромстрой"</w:t>
            </w:r>
          </w:p>
        </w:tc>
        <w:tc>
          <w:tcPr>
            <w:tcW w:w="2680" w:type="dxa"/>
            <w:tcBorders>
              <w:top w:val="single" w:sz="6" w:space="0" w:color="auto"/>
              <w:left w:val="single" w:sz="6" w:space="0" w:color="auto"/>
              <w:bottom w:val="single" w:sz="6" w:space="0" w:color="auto"/>
              <w:right w:val="doub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ООО "ЛенСпецСМУ-Комфорт"</w:t>
            </w:r>
          </w:p>
        </w:tc>
        <w:tc>
          <w:tcPr>
            <w:tcW w:w="2680" w:type="dxa"/>
            <w:tcBorders>
              <w:top w:val="single" w:sz="6" w:space="0" w:color="auto"/>
              <w:left w:val="single" w:sz="6" w:space="0" w:color="auto"/>
              <w:bottom w:val="single" w:sz="6" w:space="0" w:color="auto"/>
              <w:right w:val="doub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2015</w:t>
            </w:r>
          </w:p>
        </w:tc>
        <w:tc>
          <w:tcPr>
            <w:tcW w:w="126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ООО "ЭталонАктив"</w:t>
            </w:r>
          </w:p>
        </w:tc>
        <w:tc>
          <w:tcPr>
            <w:tcW w:w="2680" w:type="dxa"/>
            <w:tcBorders>
              <w:top w:val="single" w:sz="6" w:space="0" w:color="auto"/>
              <w:left w:val="single" w:sz="6" w:space="0" w:color="auto"/>
              <w:bottom w:val="single" w:sz="6" w:space="0" w:color="auto"/>
              <w:right w:val="doub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2015</w:t>
            </w:r>
          </w:p>
        </w:tc>
        <w:tc>
          <w:tcPr>
            <w:tcW w:w="126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ООО "СМУ "Электронстрой-Эталон"</w:t>
            </w:r>
          </w:p>
        </w:tc>
        <w:tc>
          <w:tcPr>
            <w:tcW w:w="2680" w:type="dxa"/>
            <w:tcBorders>
              <w:top w:val="single" w:sz="6" w:space="0" w:color="auto"/>
              <w:left w:val="single" w:sz="6" w:space="0" w:color="auto"/>
              <w:bottom w:val="single" w:sz="6" w:space="0" w:color="auto"/>
              <w:right w:val="doub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doub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2015</w:t>
            </w:r>
          </w:p>
        </w:tc>
        <w:tc>
          <w:tcPr>
            <w:tcW w:w="1260" w:type="dxa"/>
            <w:tcBorders>
              <w:top w:val="single" w:sz="6" w:space="0" w:color="auto"/>
              <w:left w:val="single" w:sz="6" w:space="0" w:color="auto"/>
              <w:bottom w:val="doub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настоящее время</w:t>
            </w:r>
          </w:p>
        </w:tc>
        <w:tc>
          <w:tcPr>
            <w:tcW w:w="3980" w:type="dxa"/>
            <w:tcBorders>
              <w:top w:val="single" w:sz="6" w:space="0" w:color="auto"/>
              <w:left w:val="single" w:sz="6" w:space="0" w:color="auto"/>
              <w:bottom w:val="double" w:sz="6" w:space="0" w:color="auto"/>
              <w:right w:val="sing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ООО "НТЦ "Эталон"</w:t>
            </w:r>
          </w:p>
        </w:tc>
        <w:tc>
          <w:tcPr>
            <w:tcW w:w="2680" w:type="dxa"/>
            <w:tcBorders>
              <w:top w:val="single" w:sz="6" w:space="0" w:color="auto"/>
              <w:left w:val="single" w:sz="6" w:space="0" w:color="auto"/>
              <w:bottom w:val="double" w:sz="6" w:space="0" w:color="auto"/>
              <w:right w:val="double" w:sz="6" w:space="0" w:color="auto"/>
            </w:tcBorders>
          </w:tcPr>
          <w:p w:rsidR="00434272" w:rsidRPr="00BD5BFD" w:rsidRDefault="00434272" w:rsidP="00B972FD">
            <w:pPr>
              <w:jc w:val="both"/>
              <w:rPr>
                <w:rFonts w:ascii="Arial" w:eastAsiaTheme="minorEastAsia" w:hAnsi="Arial" w:cs="Arial"/>
                <w:b/>
                <w:i/>
              </w:rPr>
            </w:pPr>
            <w:r w:rsidRPr="00BD5BFD">
              <w:rPr>
                <w:rFonts w:ascii="Arial" w:eastAsiaTheme="minorEastAsia" w:hAnsi="Arial" w:cs="Arial"/>
                <w:b/>
                <w:i/>
              </w:rPr>
              <w:t>Председатель Совета директоров</w:t>
            </w:r>
          </w:p>
        </w:tc>
      </w:tr>
    </w:tbl>
    <w:p w:rsidR="00434272" w:rsidRDefault="00434272" w:rsidP="00434272">
      <w:pPr>
        <w:pStyle w:val="ThinDelim"/>
        <w:jc w:val="both"/>
        <w:rPr>
          <w:rFonts w:eastAsiaTheme="minorEastAsia"/>
          <w:szCs w:val="20"/>
        </w:rPr>
      </w:pPr>
    </w:p>
    <w:p w:rsidR="00434272" w:rsidRPr="0020025F" w:rsidRDefault="00434272" w:rsidP="00434272">
      <w:pPr>
        <w:pStyle w:val="ConsPlusNormal"/>
        <w:ind w:firstLine="540"/>
        <w:jc w:val="both"/>
        <w:rPr>
          <w:b/>
          <w:i/>
        </w:rPr>
      </w:pPr>
      <w:r>
        <w:rPr>
          <w:rFonts w:ascii="Times New Roman" w:hAnsi="Times New Roman" w:cs="Times New Roman"/>
        </w:rPr>
        <w:t xml:space="preserve">доля участия такого лица в уставном капитале эмитента, являющегося коммерческой организацией: </w:t>
      </w:r>
      <w:r w:rsidRPr="0020025F">
        <w:rPr>
          <w:b/>
          <w:i/>
        </w:rPr>
        <w:t>доли не имеет</w:t>
      </w:r>
    </w:p>
    <w:p w:rsidR="00434272" w:rsidRDefault="00434272" w:rsidP="00434272">
      <w:pPr>
        <w:pStyle w:val="ConsPlusNormal"/>
        <w:ind w:firstLine="540"/>
        <w:jc w:val="both"/>
        <w:rPr>
          <w:rFonts w:ascii="Times New Roman" w:hAnsi="Times New Roman" w:cs="Times New Roman"/>
        </w:rPr>
      </w:pPr>
      <w:r>
        <w:rPr>
          <w:rFonts w:ascii="Times New Roman" w:hAnsi="Times New Roman" w:cs="Times New Roman"/>
        </w:rPr>
        <w:t>доля принадлежащих такому лицу обыкновенных акций эмитента:</w:t>
      </w:r>
      <w:r w:rsidRPr="003E1D7E">
        <w:rPr>
          <w:b/>
          <w:i/>
        </w:rPr>
        <w:t xml:space="preserve"> </w:t>
      </w:r>
      <w:r w:rsidRPr="0020025F">
        <w:rPr>
          <w:b/>
          <w:i/>
        </w:rPr>
        <w:t>доли не имеет</w:t>
      </w:r>
    </w:p>
    <w:p w:rsidR="00434272" w:rsidRPr="003E1D7E" w:rsidRDefault="00434272" w:rsidP="00434272">
      <w:pPr>
        <w:pStyle w:val="ConsPlusNormal"/>
        <w:ind w:firstLine="540"/>
        <w:jc w:val="both"/>
        <w:rPr>
          <w:b/>
          <w:i/>
        </w:rPr>
      </w:pPr>
      <w:r>
        <w:rPr>
          <w:rFonts w:ascii="Times New Roman" w:hAnsi="Times New Roman" w:cs="Times New Roman"/>
        </w:rPr>
        <w:t xml:space="preserve">количество акций эмитента каждой категории (типа), которые могут быть приобретены таким лицом в результате осуществления прав по принадлежащим ему опционам эмитента: </w:t>
      </w:r>
      <w:r w:rsidRPr="003E1D7E">
        <w:rPr>
          <w:b/>
          <w:i/>
        </w:rPr>
        <w:t>0 штук</w:t>
      </w:r>
    </w:p>
    <w:p w:rsidR="00434272" w:rsidRDefault="00434272" w:rsidP="00434272">
      <w:pPr>
        <w:pStyle w:val="ConsPlusNormal"/>
        <w:ind w:firstLine="540"/>
        <w:jc w:val="both"/>
        <w:rPr>
          <w:rFonts w:ascii="Times New Roman" w:hAnsi="Times New Roman" w:cs="Times New Roman"/>
        </w:rPr>
      </w:pPr>
      <w:r>
        <w:rPr>
          <w:rFonts w:ascii="Times New Roman" w:hAnsi="Times New Roman" w:cs="Times New Roman"/>
        </w:rPr>
        <w:t xml:space="preserve">доля участия такого лица в уставном капитале дочерних и зависимых обществ эмитента: </w:t>
      </w:r>
      <w:r w:rsidRPr="0020025F">
        <w:rPr>
          <w:b/>
          <w:i/>
        </w:rPr>
        <w:t>доли не имеет</w:t>
      </w:r>
    </w:p>
    <w:p w:rsidR="00434272" w:rsidRDefault="00434272" w:rsidP="00434272">
      <w:pPr>
        <w:pStyle w:val="ConsPlusNormal"/>
        <w:ind w:firstLine="540"/>
        <w:jc w:val="both"/>
        <w:rPr>
          <w:rFonts w:ascii="Times New Roman" w:hAnsi="Times New Roman" w:cs="Times New Roman"/>
        </w:rPr>
      </w:pPr>
      <w:r>
        <w:rPr>
          <w:rFonts w:ascii="Times New Roman" w:hAnsi="Times New Roman" w:cs="Times New Roman"/>
        </w:rPr>
        <w:t xml:space="preserve">доля принадлежащих такому лицу обыкновенных акций дочернего или зависимого общества эмитента и количества акций дочернего или зависимого общества эмитента каждой категории (типа), которые могут быть приобретены таким лицом в результате осуществления прав по принадлежащим ему опционам дочернего или зависимого общества эмитента: </w:t>
      </w:r>
      <w:r w:rsidRPr="0020025F">
        <w:rPr>
          <w:b/>
          <w:i/>
        </w:rPr>
        <w:t>доли не имеет</w:t>
      </w:r>
    </w:p>
    <w:p w:rsidR="00434272" w:rsidRPr="0020025F" w:rsidRDefault="00434272" w:rsidP="00434272">
      <w:pPr>
        <w:ind w:firstLine="540"/>
        <w:jc w:val="both"/>
        <w:rPr>
          <w:rFonts w:ascii="Arial" w:eastAsiaTheme="minorHAnsi" w:hAnsi="Arial" w:cs="Arial"/>
          <w:b/>
          <w:i/>
          <w:lang w:eastAsia="en-US"/>
        </w:rPr>
      </w:pPr>
      <w:r>
        <w:t xml:space="preserve">характер любых родственных связей с лицами, входящими в состав органов управления эмитента и (или) органов контроля за финансово-хозяйственной деятельностью эмитента: </w:t>
      </w:r>
      <w:r w:rsidRPr="0020025F">
        <w:rPr>
          <w:rFonts w:ascii="Arial" w:eastAsiaTheme="minorHAnsi" w:hAnsi="Arial" w:cs="Arial"/>
          <w:b/>
          <w:i/>
          <w:lang w:eastAsia="en-US"/>
        </w:rPr>
        <w:t>Указанных родственных связей нет</w:t>
      </w:r>
    </w:p>
    <w:p w:rsidR="00434272" w:rsidRPr="0020025F" w:rsidRDefault="00434272" w:rsidP="00434272">
      <w:pPr>
        <w:ind w:firstLine="540"/>
        <w:jc w:val="both"/>
        <w:rPr>
          <w:rFonts w:ascii="Arial" w:eastAsiaTheme="minorHAnsi" w:hAnsi="Arial" w:cs="Arial"/>
          <w:b/>
          <w:i/>
          <w:lang w:eastAsia="en-US"/>
        </w:rPr>
      </w:pPr>
      <w:r>
        <w:t xml:space="preserve">сведения о привлечении к административной ответственности за правонарушения в области финансов, налогов и сборов, рынка ценных бумаг или уголовной ответственности (наличии судимости) за преступления в сфере экономики и (или) за преступления против государственной власти: </w:t>
      </w:r>
      <w:r w:rsidRPr="0020025F">
        <w:rPr>
          <w:rFonts w:ascii="Arial" w:eastAsiaTheme="minorHAnsi" w:hAnsi="Arial" w:cs="Arial"/>
          <w:b/>
          <w:i/>
          <w:lang w:eastAsia="en-US"/>
        </w:rPr>
        <w:t>Лицо к указанным видам ответственности не привлекалось</w:t>
      </w:r>
    </w:p>
    <w:p w:rsidR="00434272" w:rsidRDefault="00434272" w:rsidP="00434272">
      <w:pPr>
        <w:ind w:firstLine="540"/>
        <w:jc w:val="both"/>
        <w:rPr>
          <w:rFonts w:eastAsiaTheme="minorEastAsia"/>
        </w:rPr>
      </w:pPr>
      <w:r>
        <w:t xml:space="preserve">сведения о занятии должностей в органах управления коммерческих организаций в период, когда в отношении указанных организаций было возбуждено дело о банкротстве и (или) введена одна из процедур банкротства, предусмотренных законодательством Российской Федерации о несостоятельности (банкротстве): </w:t>
      </w:r>
      <w:r w:rsidRPr="0020025F">
        <w:rPr>
          <w:rFonts w:ascii="Arial" w:eastAsiaTheme="minorHAnsi" w:hAnsi="Arial" w:cs="Arial"/>
          <w:b/>
          <w:i/>
          <w:lang w:eastAsia="en-US"/>
        </w:rPr>
        <w:t>Лицо указанных должностей не занимало</w:t>
      </w:r>
    </w:p>
    <w:p w:rsidR="00434272" w:rsidRDefault="00434272" w:rsidP="00434272">
      <w:pPr>
        <w:pStyle w:val="ConsPlusNormal"/>
        <w:ind w:firstLine="567"/>
        <w:jc w:val="both"/>
        <w:rPr>
          <w:rFonts w:ascii="Times New Roman" w:hAnsi="Times New Roman" w:cs="Times New Roman"/>
        </w:rPr>
      </w:pPr>
      <w:r>
        <w:rPr>
          <w:rFonts w:ascii="Times New Roman" w:hAnsi="Times New Roman" w:cs="Times New Roman"/>
        </w:rPr>
        <w:t xml:space="preserve">По каждому члену совета директоров (наблюдательного совета) эмитента дополнительно указываются сведения об участии (член комитета, председатель комитета) в работе комитетов совета директоров (наблюдательного совета) с указанием названия комитета (комитетов): </w:t>
      </w:r>
      <w:r>
        <w:rPr>
          <w:b/>
          <w:bCs/>
          <w:i/>
          <w:iCs/>
        </w:rPr>
        <w:t xml:space="preserve">не участвует </w:t>
      </w:r>
      <w:r>
        <w:rPr>
          <w:rFonts w:ascii="Times New Roman" w:hAnsi="Times New Roman" w:cs="Times New Roman"/>
        </w:rPr>
        <w:t xml:space="preserve">Приводятся также сведения о членах совета директоров (наблюдательного совета), которых эмитент считает независимыми: </w:t>
      </w:r>
      <w:r>
        <w:rPr>
          <w:b/>
          <w:bCs/>
          <w:i/>
          <w:iCs/>
        </w:rPr>
        <w:t>не является независимым директором</w:t>
      </w:r>
    </w:p>
    <w:p w:rsidR="00434272" w:rsidRDefault="00434272" w:rsidP="00434272">
      <w:pPr>
        <w:pStyle w:val="ConsPlusNormal"/>
        <w:ind w:firstLine="540"/>
        <w:jc w:val="both"/>
        <w:rPr>
          <w:rFonts w:ascii="Times New Roman" w:hAnsi="Times New Roman" w:cs="Times New Roman"/>
        </w:rPr>
      </w:pPr>
    </w:p>
    <w:p w:rsidR="00434272" w:rsidRPr="00BD5BFD" w:rsidRDefault="00434272" w:rsidP="00434272">
      <w:pPr>
        <w:ind w:firstLine="567"/>
        <w:jc w:val="both"/>
        <w:rPr>
          <w:rFonts w:ascii="Arial" w:eastAsiaTheme="minorHAnsi" w:hAnsi="Arial" w:cs="Arial"/>
          <w:b/>
          <w:bCs/>
          <w:i/>
          <w:iCs/>
          <w:lang w:eastAsia="en-US"/>
        </w:rPr>
      </w:pPr>
      <w:r>
        <w:t>6. фамилия, имя, отчество:</w:t>
      </w:r>
      <w:r w:rsidRPr="009D1CD4">
        <w:rPr>
          <w:rFonts w:eastAsiaTheme="minorEastAsia"/>
        </w:rPr>
        <w:t xml:space="preserve"> </w:t>
      </w:r>
      <w:r w:rsidRPr="00BD5BFD">
        <w:rPr>
          <w:rFonts w:ascii="Arial" w:eastAsiaTheme="minorHAnsi" w:hAnsi="Arial" w:cs="Arial"/>
          <w:b/>
          <w:bCs/>
          <w:i/>
          <w:iCs/>
          <w:lang w:eastAsia="en-US"/>
        </w:rPr>
        <w:t>Головачев Павел Юрьевич</w:t>
      </w:r>
    </w:p>
    <w:p w:rsidR="00434272" w:rsidRDefault="00434272" w:rsidP="00434272">
      <w:pPr>
        <w:ind w:firstLine="567"/>
        <w:jc w:val="both"/>
      </w:pPr>
      <w:r>
        <w:t xml:space="preserve">год рождения: </w:t>
      </w:r>
      <w:r w:rsidRPr="0084445E">
        <w:rPr>
          <w:rFonts w:ascii="Arial" w:eastAsiaTheme="minorHAnsi" w:hAnsi="Arial" w:cs="Arial"/>
          <w:b/>
          <w:bCs/>
          <w:i/>
          <w:iCs/>
          <w:lang w:eastAsia="en-US"/>
        </w:rPr>
        <w:t>19</w:t>
      </w:r>
      <w:r>
        <w:rPr>
          <w:rFonts w:ascii="Arial" w:eastAsiaTheme="minorHAnsi" w:hAnsi="Arial" w:cs="Arial"/>
          <w:b/>
          <w:bCs/>
          <w:i/>
          <w:iCs/>
          <w:lang w:eastAsia="en-US"/>
        </w:rPr>
        <w:t>81</w:t>
      </w:r>
    </w:p>
    <w:p w:rsidR="00434272" w:rsidRDefault="00434272" w:rsidP="00434272">
      <w:pPr>
        <w:pStyle w:val="ConsPlusNormal"/>
        <w:ind w:firstLine="567"/>
        <w:jc w:val="both"/>
        <w:rPr>
          <w:rFonts w:ascii="Times New Roman" w:hAnsi="Times New Roman" w:cs="Times New Roman"/>
        </w:rPr>
      </w:pPr>
      <w:r>
        <w:rPr>
          <w:rFonts w:ascii="Times New Roman" w:hAnsi="Times New Roman" w:cs="Times New Roman"/>
        </w:rPr>
        <w:t>сведения об образовании:</w:t>
      </w:r>
    </w:p>
    <w:p w:rsidR="00434272" w:rsidRPr="003E1D7E" w:rsidRDefault="00434272" w:rsidP="00434272">
      <w:pPr>
        <w:pStyle w:val="ConsPlusNormal"/>
        <w:ind w:firstLine="567"/>
        <w:jc w:val="both"/>
        <w:rPr>
          <w:b/>
          <w:bCs/>
          <w:i/>
          <w:iCs/>
        </w:rPr>
      </w:pPr>
      <w:r w:rsidRPr="003E1D7E">
        <w:rPr>
          <w:b/>
          <w:bCs/>
          <w:i/>
          <w:iCs/>
        </w:rPr>
        <w:t>Высшее, Санкт-Петербургский Государственный университет экономики и финансов, экономист</w:t>
      </w:r>
    </w:p>
    <w:p w:rsidR="00434272" w:rsidRDefault="00434272" w:rsidP="00434272">
      <w:pPr>
        <w:pStyle w:val="ConsPlusNormal"/>
        <w:ind w:firstLine="567"/>
        <w:jc w:val="both"/>
        <w:rPr>
          <w:rFonts w:ascii="Times New Roman" w:hAnsi="Times New Roman" w:cs="Times New Roman"/>
        </w:rPr>
      </w:pPr>
      <w:r>
        <w:rPr>
          <w:rFonts w:ascii="Times New Roman" w:hAnsi="Times New Roman" w:cs="Times New Roman"/>
        </w:rPr>
        <w:t>все должности, занимаемые таким лицом в эмитенте и других организациях за последние пять лет и в настоящее время в хронологическом порядке, в том числе по совместительству:</w:t>
      </w:r>
    </w:p>
    <w:p w:rsidR="00434272" w:rsidRDefault="00434272" w:rsidP="00434272">
      <w:pPr>
        <w:pStyle w:val="ThinDelim"/>
        <w:jc w:val="both"/>
        <w:rPr>
          <w:rFonts w:eastAsiaTheme="minorEastAsia"/>
          <w:szCs w:val="20"/>
        </w:rPr>
      </w:pPr>
    </w:p>
    <w:tbl>
      <w:tblPr>
        <w:tblW w:w="0" w:type="auto"/>
        <w:tblLayout w:type="fixed"/>
        <w:tblCellMar>
          <w:left w:w="72" w:type="dxa"/>
          <w:right w:w="72" w:type="dxa"/>
        </w:tblCellMar>
        <w:tblLook w:val="0000" w:firstRow="0" w:lastRow="0" w:firstColumn="0" w:lastColumn="0" w:noHBand="0" w:noVBand="0"/>
      </w:tblPr>
      <w:tblGrid>
        <w:gridCol w:w="1332"/>
        <w:gridCol w:w="1260"/>
        <w:gridCol w:w="3980"/>
        <w:gridCol w:w="2680"/>
      </w:tblGrid>
      <w:tr w:rsidR="00434272" w:rsidTr="00B972FD">
        <w:tc>
          <w:tcPr>
            <w:tcW w:w="2592" w:type="dxa"/>
            <w:gridSpan w:val="2"/>
            <w:tcBorders>
              <w:top w:val="double" w:sz="6" w:space="0" w:color="auto"/>
              <w:left w:val="doub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Период</w:t>
            </w:r>
          </w:p>
        </w:tc>
        <w:tc>
          <w:tcPr>
            <w:tcW w:w="3980" w:type="dxa"/>
            <w:tcBorders>
              <w:top w:val="doub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Наименование организации</w:t>
            </w:r>
          </w:p>
        </w:tc>
        <w:tc>
          <w:tcPr>
            <w:tcW w:w="2680" w:type="dxa"/>
            <w:tcBorders>
              <w:top w:val="double" w:sz="6" w:space="0" w:color="auto"/>
              <w:left w:val="single" w:sz="6" w:space="0" w:color="auto"/>
              <w:bottom w:val="single" w:sz="6" w:space="0" w:color="auto"/>
              <w:right w:val="doub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Должность</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с</w:t>
            </w:r>
          </w:p>
        </w:tc>
        <w:tc>
          <w:tcPr>
            <w:tcW w:w="126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по</w:t>
            </w:r>
          </w:p>
        </w:tc>
        <w:tc>
          <w:tcPr>
            <w:tcW w:w="398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p>
        </w:tc>
        <w:tc>
          <w:tcPr>
            <w:tcW w:w="2680" w:type="dxa"/>
            <w:tcBorders>
              <w:top w:val="single" w:sz="6" w:space="0" w:color="auto"/>
              <w:left w:val="single" w:sz="6" w:space="0" w:color="auto"/>
              <w:bottom w:val="single" w:sz="6" w:space="0" w:color="auto"/>
              <w:right w:val="double" w:sz="6" w:space="0" w:color="auto"/>
            </w:tcBorders>
          </w:tcPr>
          <w:p w:rsidR="00434272" w:rsidRPr="003E1D7E" w:rsidRDefault="00434272" w:rsidP="00B972FD">
            <w:pPr>
              <w:jc w:val="both"/>
              <w:rPr>
                <w:rFonts w:ascii="Arial" w:eastAsiaTheme="minorEastAsia" w:hAnsi="Arial" w:cs="Arial"/>
                <w:b/>
                <w:i/>
              </w:rPr>
            </w:pP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2009</w:t>
            </w:r>
          </w:p>
        </w:tc>
        <w:tc>
          <w:tcPr>
            <w:tcW w:w="126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2012</w:t>
            </w:r>
          </w:p>
        </w:tc>
        <w:tc>
          <w:tcPr>
            <w:tcW w:w="398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ЗАО "Управляющая компания "Эталон"</w:t>
            </w:r>
          </w:p>
        </w:tc>
        <w:tc>
          <w:tcPr>
            <w:tcW w:w="2680" w:type="dxa"/>
            <w:tcBorders>
              <w:top w:val="single" w:sz="6" w:space="0" w:color="auto"/>
              <w:left w:val="single" w:sz="6" w:space="0" w:color="auto"/>
              <w:bottom w:val="single" w:sz="6" w:space="0" w:color="auto"/>
              <w:right w:val="doub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Первый заместитель главного бухгалтера (заместитель главного финансового директора (CFO) по международной отчетности)</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ЗАО "Управляющая компания "Эталон"</w:t>
            </w:r>
          </w:p>
        </w:tc>
        <w:tc>
          <w:tcPr>
            <w:tcW w:w="2680" w:type="dxa"/>
            <w:tcBorders>
              <w:top w:val="single" w:sz="6" w:space="0" w:color="auto"/>
              <w:left w:val="single" w:sz="6" w:space="0" w:color="auto"/>
              <w:bottom w:val="single" w:sz="6" w:space="0" w:color="auto"/>
              <w:right w:val="doub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Заместитель главного бухгалтера- Начальник отдела трансформации и консолидации отчетности по МСФО - Заместитель главного финансового директора (CFO) по международной отчетности</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2013</w:t>
            </w:r>
          </w:p>
        </w:tc>
        <w:tc>
          <w:tcPr>
            <w:tcW w:w="126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ЗАО ССМО "ЛенСпецСМУ"</w:t>
            </w:r>
          </w:p>
        </w:tc>
        <w:tc>
          <w:tcPr>
            <w:tcW w:w="2680" w:type="dxa"/>
            <w:tcBorders>
              <w:top w:val="single" w:sz="6" w:space="0" w:color="auto"/>
              <w:left w:val="single" w:sz="6" w:space="0" w:color="auto"/>
              <w:bottom w:val="single" w:sz="6" w:space="0" w:color="auto"/>
              <w:right w:val="doub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ЗАО "ГК "Эталон"</w:t>
            </w:r>
          </w:p>
        </w:tc>
        <w:tc>
          <w:tcPr>
            <w:tcW w:w="2680" w:type="dxa"/>
            <w:tcBorders>
              <w:top w:val="single" w:sz="6" w:space="0" w:color="auto"/>
              <w:left w:val="single" w:sz="6" w:space="0" w:color="auto"/>
              <w:bottom w:val="single" w:sz="6" w:space="0" w:color="auto"/>
              <w:right w:val="doub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Первый заместитель главного бухгалтера – Директор по корпоративной отчетности ГК «Эталон»</w:t>
            </w:r>
          </w:p>
        </w:tc>
      </w:tr>
      <w:tr w:rsidR="00434272" w:rsidTr="00B972FD">
        <w:tc>
          <w:tcPr>
            <w:tcW w:w="1332" w:type="dxa"/>
            <w:tcBorders>
              <w:top w:val="single" w:sz="6" w:space="0" w:color="auto"/>
              <w:left w:val="double" w:sz="6" w:space="0" w:color="auto"/>
              <w:bottom w:val="doub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2015</w:t>
            </w:r>
          </w:p>
        </w:tc>
        <w:tc>
          <w:tcPr>
            <w:tcW w:w="1260" w:type="dxa"/>
            <w:tcBorders>
              <w:top w:val="single" w:sz="6" w:space="0" w:color="auto"/>
              <w:left w:val="single" w:sz="6" w:space="0" w:color="auto"/>
              <w:bottom w:val="doub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настоящее время</w:t>
            </w:r>
          </w:p>
        </w:tc>
        <w:tc>
          <w:tcPr>
            <w:tcW w:w="3980" w:type="dxa"/>
            <w:tcBorders>
              <w:top w:val="single" w:sz="6" w:space="0" w:color="auto"/>
              <w:left w:val="single" w:sz="6" w:space="0" w:color="auto"/>
              <w:bottom w:val="doub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ООО "Клешня"</w:t>
            </w:r>
          </w:p>
        </w:tc>
        <w:tc>
          <w:tcPr>
            <w:tcW w:w="2680" w:type="dxa"/>
            <w:tcBorders>
              <w:top w:val="single" w:sz="6" w:space="0" w:color="auto"/>
              <w:left w:val="single" w:sz="6" w:space="0" w:color="auto"/>
              <w:bottom w:val="double" w:sz="6" w:space="0" w:color="auto"/>
              <w:right w:val="doub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Генеральный директор</w:t>
            </w:r>
          </w:p>
        </w:tc>
      </w:tr>
    </w:tbl>
    <w:p w:rsidR="00434272" w:rsidRDefault="00434272" w:rsidP="00434272">
      <w:pPr>
        <w:pStyle w:val="ThinDelim"/>
        <w:jc w:val="both"/>
        <w:rPr>
          <w:rFonts w:eastAsiaTheme="minorEastAsia"/>
          <w:szCs w:val="20"/>
        </w:rPr>
      </w:pPr>
    </w:p>
    <w:p w:rsidR="00434272" w:rsidRPr="0020025F" w:rsidRDefault="00434272" w:rsidP="00434272">
      <w:pPr>
        <w:pStyle w:val="ConsPlusNormal"/>
        <w:ind w:firstLine="540"/>
        <w:jc w:val="both"/>
        <w:rPr>
          <w:b/>
          <w:i/>
        </w:rPr>
      </w:pPr>
      <w:r>
        <w:rPr>
          <w:rFonts w:ascii="Times New Roman" w:hAnsi="Times New Roman" w:cs="Times New Roman"/>
        </w:rPr>
        <w:t xml:space="preserve">доля участия такого лица в уставном капитале эмитента, являющегося коммерческой организацией: </w:t>
      </w:r>
      <w:r w:rsidRPr="0020025F">
        <w:rPr>
          <w:b/>
          <w:i/>
        </w:rPr>
        <w:t>доли не имеет</w:t>
      </w:r>
    </w:p>
    <w:p w:rsidR="00434272" w:rsidRDefault="00434272" w:rsidP="00434272">
      <w:pPr>
        <w:pStyle w:val="ConsPlusNormal"/>
        <w:ind w:firstLine="540"/>
        <w:jc w:val="both"/>
        <w:rPr>
          <w:rFonts w:ascii="Times New Roman" w:hAnsi="Times New Roman" w:cs="Times New Roman"/>
        </w:rPr>
      </w:pPr>
      <w:r>
        <w:rPr>
          <w:rFonts w:ascii="Times New Roman" w:hAnsi="Times New Roman" w:cs="Times New Roman"/>
        </w:rPr>
        <w:t>доля принадлежащих такому лицу обыкновенных акций эмитента:</w:t>
      </w:r>
      <w:r w:rsidRPr="003E1D7E">
        <w:rPr>
          <w:b/>
          <w:i/>
        </w:rPr>
        <w:t xml:space="preserve"> </w:t>
      </w:r>
      <w:r w:rsidRPr="0020025F">
        <w:rPr>
          <w:b/>
          <w:i/>
        </w:rPr>
        <w:t>доли не имеет</w:t>
      </w:r>
    </w:p>
    <w:p w:rsidR="00434272" w:rsidRPr="003E1D7E" w:rsidRDefault="00434272" w:rsidP="00434272">
      <w:pPr>
        <w:pStyle w:val="ConsPlusNormal"/>
        <w:ind w:firstLine="540"/>
        <w:jc w:val="both"/>
        <w:rPr>
          <w:b/>
          <w:i/>
        </w:rPr>
      </w:pPr>
      <w:r>
        <w:rPr>
          <w:rFonts w:ascii="Times New Roman" w:hAnsi="Times New Roman" w:cs="Times New Roman"/>
        </w:rPr>
        <w:t xml:space="preserve">количество акций эмитента каждой категории (типа), которые могут быть приобретены таким лицом в результате осуществления прав по принадлежащим ему опционам эмитента: </w:t>
      </w:r>
      <w:r w:rsidRPr="003E1D7E">
        <w:rPr>
          <w:b/>
          <w:i/>
        </w:rPr>
        <w:t>0 штук</w:t>
      </w:r>
    </w:p>
    <w:p w:rsidR="00434272" w:rsidRDefault="00434272" w:rsidP="00434272">
      <w:pPr>
        <w:pStyle w:val="ConsPlusNormal"/>
        <w:ind w:firstLine="540"/>
        <w:jc w:val="both"/>
        <w:rPr>
          <w:rFonts w:ascii="Times New Roman" w:hAnsi="Times New Roman" w:cs="Times New Roman"/>
        </w:rPr>
      </w:pPr>
      <w:r>
        <w:rPr>
          <w:rFonts w:ascii="Times New Roman" w:hAnsi="Times New Roman" w:cs="Times New Roman"/>
        </w:rPr>
        <w:t xml:space="preserve">доля участия такого лица в уставном капитале дочерних и зависимых обществ эмитента: </w:t>
      </w:r>
      <w:r w:rsidRPr="0020025F">
        <w:rPr>
          <w:b/>
          <w:i/>
        </w:rPr>
        <w:t>доли не имеет</w:t>
      </w:r>
    </w:p>
    <w:p w:rsidR="00434272" w:rsidRDefault="00434272" w:rsidP="00434272">
      <w:pPr>
        <w:pStyle w:val="ConsPlusNormal"/>
        <w:ind w:firstLine="540"/>
        <w:jc w:val="both"/>
        <w:rPr>
          <w:rFonts w:ascii="Times New Roman" w:hAnsi="Times New Roman" w:cs="Times New Roman"/>
        </w:rPr>
      </w:pPr>
      <w:r>
        <w:rPr>
          <w:rFonts w:ascii="Times New Roman" w:hAnsi="Times New Roman" w:cs="Times New Roman"/>
        </w:rPr>
        <w:t xml:space="preserve">доля принадлежащих такому лицу обыкновенных акций дочернего или зависимого общества эмитента и количества акций дочернего или зависимого общества эмитента каждой категории (типа), которые могут быть приобретены таким лицом в результате осуществления прав по принадлежащим ему опционам дочернего или зависимого общества эмитента: </w:t>
      </w:r>
      <w:r w:rsidRPr="0020025F">
        <w:rPr>
          <w:b/>
          <w:i/>
        </w:rPr>
        <w:t>доли не имеет</w:t>
      </w:r>
    </w:p>
    <w:p w:rsidR="00434272" w:rsidRPr="0020025F" w:rsidRDefault="00434272" w:rsidP="00434272">
      <w:pPr>
        <w:ind w:firstLine="540"/>
        <w:jc w:val="both"/>
        <w:rPr>
          <w:rFonts w:ascii="Arial" w:eastAsiaTheme="minorHAnsi" w:hAnsi="Arial" w:cs="Arial"/>
          <w:b/>
          <w:i/>
          <w:lang w:eastAsia="en-US"/>
        </w:rPr>
      </w:pPr>
      <w:r>
        <w:t xml:space="preserve">характер любых родственных связей с лицами, входящими в состав органов управления эмитента и (или) органов контроля за финансово-хозяйственной деятельностью эмитента: </w:t>
      </w:r>
      <w:r w:rsidRPr="0020025F">
        <w:rPr>
          <w:rFonts w:ascii="Arial" w:eastAsiaTheme="minorHAnsi" w:hAnsi="Arial" w:cs="Arial"/>
          <w:b/>
          <w:i/>
          <w:lang w:eastAsia="en-US"/>
        </w:rPr>
        <w:t>Указанных родственных связей нет</w:t>
      </w:r>
    </w:p>
    <w:p w:rsidR="00434272" w:rsidRPr="0020025F" w:rsidRDefault="00434272" w:rsidP="00434272">
      <w:pPr>
        <w:ind w:firstLine="540"/>
        <w:jc w:val="both"/>
        <w:rPr>
          <w:rFonts w:ascii="Arial" w:eastAsiaTheme="minorHAnsi" w:hAnsi="Arial" w:cs="Arial"/>
          <w:b/>
          <w:i/>
          <w:lang w:eastAsia="en-US"/>
        </w:rPr>
      </w:pPr>
      <w:r>
        <w:t xml:space="preserve">сведения о привлечении к административной ответственности за правонарушения в области финансов, налогов и сборов, рынка ценных бумаг или уголовной ответственности (наличии судимости) за преступления в сфере экономики и (или) за преступления против государственной власти: </w:t>
      </w:r>
      <w:r w:rsidRPr="0020025F">
        <w:rPr>
          <w:rFonts w:ascii="Arial" w:eastAsiaTheme="minorHAnsi" w:hAnsi="Arial" w:cs="Arial"/>
          <w:b/>
          <w:i/>
          <w:lang w:eastAsia="en-US"/>
        </w:rPr>
        <w:t>Лицо к указанным видам ответственности не привлекалось</w:t>
      </w:r>
    </w:p>
    <w:p w:rsidR="00434272" w:rsidRDefault="00434272" w:rsidP="00434272">
      <w:pPr>
        <w:ind w:firstLine="540"/>
        <w:jc w:val="both"/>
        <w:rPr>
          <w:rFonts w:eastAsiaTheme="minorEastAsia"/>
        </w:rPr>
      </w:pPr>
      <w:r>
        <w:t xml:space="preserve">сведения о занятии должностей в органах управления коммерческих организаций в период, когда в отношении указанных организаций было возбуждено дело о банкротстве и (или) введена одна из процедур банкротства, предусмотренных законодательством Российской Федерации о несостоятельности (банкротстве): </w:t>
      </w:r>
      <w:r w:rsidRPr="0020025F">
        <w:rPr>
          <w:rFonts w:ascii="Arial" w:eastAsiaTheme="minorHAnsi" w:hAnsi="Arial" w:cs="Arial"/>
          <w:b/>
          <w:i/>
          <w:lang w:eastAsia="en-US"/>
        </w:rPr>
        <w:t>Лицо указанных должностей не занимало</w:t>
      </w:r>
    </w:p>
    <w:p w:rsidR="00434272" w:rsidRDefault="00434272" w:rsidP="00434272">
      <w:pPr>
        <w:pStyle w:val="ConsPlusNormal"/>
        <w:ind w:firstLine="567"/>
        <w:jc w:val="both"/>
        <w:rPr>
          <w:b/>
          <w:bCs/>
          <w:i/>
          <w:iCs/>
        </w:rPr>
      </w:pPr>
      <w:r>
        <w:rPr>
          <w:rFonts w:ascii="Times New Roman" w:hAnsi="Times New Roman" w:cs="Times New Roman"/>
        </w:rPr>
        <w:t xml:space="preserve">По каждому члену совета директоров (наблюдательного совета) эмитента дополнительно указываются сведения об участии (член комитета, председатель комитета) в работе комитетов совета директоров (наблюдательного совета) с указанием названия комитета (комитетов): </w:t>
      </w:r>
      <w:r>
        <w:rPr>
          <w:b/>
          <w:bCs/>
          <w:i/>
          <w:iCs/>
        </w:rPr>
        <w:t>Председатель Комитета по аудиту</w:t>
      </w:r>
    </w:p>
    <w:p w:rsidR="00434272" w:rsidRDefault="00434272" w:rsidP="00434272">
      <w:pPr>
        <w:pStyle w:val="ConsPlusNormal"/>
        <w:ind w:firstLine="567"/>
        <w:jc w:val="both"/>
        <w:rPr>
          <w:rFonts w:ascii="Times New Roman" w:hAnsi="Times New Roman" w:cs="Times New Roman"/>
        </w:rPr>
      </w:pPr>
      <w:r>
        <w:rPr>
          <w:rFonts w:ascii="Times New Roman" w:hAnsi="Times New Roman" w:cs="Times New Roman"/>
        </w:rPr>
        <w:t xml:space="preserve">Приводятся также сведения о членах совета директоров (наблюдательного совета), которых эмитент считает независимыми: </w:t>
      </w:r>
      <w:r>
        <w:rPr>
          <w:b/>
          <w:bCs/>
          <w:i/>
          <w:iCs/>
        </w:rPr>
        <w:t>является независимым директором</w:t>
      </w:r>
    </w:p>
    <w:p w:rsidR="00434272" w:rsidRDefault="00434272" w:rsidP="00434272">
      <w:pPr>
        <w:pStyle w:val="ConsPlusNormal"/>
        <w:ind w:firstLine="540"/>
        <w:jc w:val="both"/>
        <w:rPr>
          <w:rFonts w:ascii="Times New Roman" w:hAnsi="Times New Roman" w:cs="Times New Roman"/>
        </w:rPr>
      </w:pPr>
    </w:p>
    <w:p w:rsidR="00434272" w:rsidRPr="003E1D7E" w:rsidRDefault="00434272" w:rsidP="00434272">
      <w:pPr>
        <w:ind w:firstLine="567"/>
        <w:jc w:val="both"/>
        <w:rPr>
          <w:rFonts w:ascii="Arial" w:eastAsiaTheme="minorHAnsi" w:hAnsi="Arial" w:cs="Arial"/>
          <w:b/>
          <w:bCs/>
          <w:i/>
          <w:iCs/>
          <w:lang w:eastAsia="en-US"/>
        </w:rPr>
      </w:pPr>
      <w:r>
        <w:t>7. фамилия, имя, отчество:</w:t>
      </w:r>
      <w:r w:rsidRPr="009D1CD4">
        <w:rPr>
          <w:rFonts w:eastAsiaTheme="minorEastAsia"/>
        </w:rPr>
        <w:t xml:space="preserve"> </w:t>
      </w:r>
      <w:r w:rsidRPr="003E1D7E">
        <w:rPr>
          <w:rFonts w:ascii="Arial" w:eastAsiaTheme="minorHAnsi" w:hAnsi="Arial" w:cs="Arial"/>
          <w:b/>
          <w:bCs/>
          <w:i/>
          <w:iCs/>
          <w:lang w:eastAsia="en-US"/>
        </w:rPr>
        <w:t>Цытрина Виктория Владимировна</w:t>
      </w:r>
    </w:p>
    <w:p w:rsidR="00434272" w:rsidRDefault="00434272" w:rsidP="00434272">
      <w:pPr>
        <w:ind w:firstLine="567"/>
        <w:jc w:val="both"/>
      </w:pPr>
      <w:r>
        <w:t xml:space="preserve">год рождения: </w:t>
      </w:r>
      <w:r w:rsidRPr="0084445E">
        <w:rPr>
          <w:rFonts w:ascii="Arial" w:eastAsiaTheme="minorHAnsi" w:hAnsi="Arial" w:cs="Arial"/>
          <w:b/>
          <w:bCs/>
          <w:i/>
          <w:iCs/>
          <w:lang w:eastAsia="en-US"/>
        </w:rPr>
        <w:t>19</w:t>
      </w:r>
      <w:r>
        <w:rPr>
          <w:rFonts w:ascii="Arial" w:eastAsiaTheme="minorHAnsi" w:hAnsi="Arial" w:cs="Arial"/>
          <w:b/>
          <w:bCs/>
          <w:i/>
          <w:iCs/>
          <w:lang w:eastAsia="en-US"/>
        </w:rPr>
        <w:t>78</w:t>
      </w:r>
    </w:p>
    <w:p w:rsidR="00434272" w:rsidRDefault="00434272" w:rsidP="00434272">
      <w:pPr>
        <w:pStyle w:val="ConsPlusNormal"/>
        <w:ind w:firstLine="567"/>
        <w:jc w:val="both"/>
        <w:rPr>
          <w:rFonts w:ascii="Times New Roman" w:hAnsi="Times New Roman" w:cs="Times New Roman"/>
        </w:rPr>
      </w:pPr>
      <w:r>
        <w:rPr>
          <w:rFonts w:ascii="Times New Roman" w:hAnsi="Times New Roman" w:cs="Times New Roman"/>
        </w:rPr>
        <w:t>сведения об образовании:</w:t>
      </w:r>
    </w:p>
    <w:p w:rsidR="00434272" w:rsidRDefault="00434272" w:rsidP="00434272">
      <w:pPr>
        <w:pStyle w:val="ConsPlusNormal"/>
        <w:ind w:firstLine="567"/>
        <w:jc w:val="both"/>
        <w:rPr>
          <w:rFonts w:ascii="Times New Roman" w:hAnsi="Times New Roman" w:cs="Times New Roman"/>
        </w:rPr>
      </w:pPr>
      <w:r>
        <w:rPr>
          <w:rStyle w:val="Subst"/>
          <w:rFonts w:eastAsiaTheme="minorEastAsia"/>
        </w:rPr>
        <w:t>Высшее, Санкт-Петербургский Государственный Университет, юрист</w:t>
      </w:r>
      <w:r w:rsidR="003A2721">
        <w:rPr>
          <w:rStyle w:val="Subst"/>
          <w:rFonts w:eastAsiaTheme="minorEastAsia"/>
        </w:rPr>
        <w:t>, магистр права.</w:t>
      </w:r>
      <w:r>
        <w:rPr>
          <w:rFonts w:ascii="Times New Roman" w:hAnsi="Times New Roman" w:cs="Times New Roman"/>
        </w:rPr>
        <w:t xml:space="preserve"> </w:t>
      </w:r>
    </w:p>
    <w:p w:rsidR="00434272" w:rsidRDefault="00434272" w:rsidP="00434272">
      <w:pPr>
        <w:pStyle w:val="ConsPlusNormal"/>
        <w:ind w:firstLine="567"/>
        <w:jc w:val="both"/>
        <w:rPr>
          <w:rFonts w:ascii="Times New Roman" w:hAnsi="Times New Roman" w:cs="Times New Roman"/>
        </w:rPr>
      </w:pPr>
      <w:r>
        <w:rPr>
          <w:rFonts w:ascii="Times New Roman" w:hAnsi="Times New Roman" w:cs="Times New Roman"/>
        </w:rPr>
        <w:t>все должности, занимаемые таким лицом в эмитенте и других организациях за последние пять лет и в настоящее время в хронологическом порядке, в том числе по совместительству:</w:t>
      </w:r>
    </w:p>
    <w:p w:rsidR="00434272" w:rsidRDefault="00434272" w:rsidP="00434272">
      <w:pPr>
        <w:pStyle w:val="ThinDelim"/>
        <w:jc w:val="both"/>
        <w:rPr>
          <w:rFonts w:eastAsiaTheme="minorEastAsia"/>
          <w:szCs w:val="20"/>
        </w:rPr>
      </w:pPr>
    </w:p>
    <w:tbl>
      <w:tblPr>
        <w:tblW w:w="0" w:type="auto"/>
        <w:tblLayout w:type="fixed"/>
        <w:tblCellMar>
          <w:left w:w="72" w:type="dxa"/>
          <w:right w:w="72" w:type="dxa"/>
        </w:tblCellMar>
        <w:tblLook w:val="0000" w:firstRow="0" w:lastRow="0" w:firstColumn="0" w:lastColumn="0" w:noHBand="0" w:noVBand="0"/>
      </w:tblPr>
      <w:tblGrid>
        <w:gridCol w:w="1332"/>
        <w:gridCol w:w="1260"/>
        <w:gridCol w:w="3980"/>
        <w:gridCol w:w="2680"/>
      </w:tblGrid>
      <w:tr w:rsidR="00434272" w:rsidTr="00B972FD">
        <w:tc>
          <w:tcPr>
            <w:tcW w:w="2592" w:type="dxa"/>
            <w:gridSpan w:val="2"/>
            <w:tcBorders>
              <w:top w:val="double" w:sz="6" w:space="0" w:color="auto"/>
              <w:left w:val="doub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Период</w:t>
            </w:r>
          </w:p>
        </w:tc>
        <w:tc>
          <w:tcPr>
            <w:tcW w:w="3980" w:type="dxa"/>
            <w:tcBorders>
              <w:top w:val="doub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Наименование организации</w:t>
            </w:r>
          </w:p>
        </w:tc>
        <w:tc>
          <w:tcPr>
            <w:tcW w:w="2680" w:type="dxa"/>
            <w:tcBorders>
              <w:top w:val="double" w:sz="6" w:space="0" w:color="auto"/>
              <w:left w:val="single" w:sz="6" w:space="0" w:color="auto"/>
              <w:bottom w:val="single" w:sz="6" w:space="0" w:color="auto"/>
              <w:right w:val="doub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Должность</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с</w:t>
            </w:r>
          </w:p>
        </w:tc>
        <w:tc>
          <w:tcPr>
            <w:tcW w:w="126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по</w:t>
            </w:r>
          </w:p>
        </w:tc>
        <w:tc>
          <w:tcPr>
            <w:tcW w:w="398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p>
        </w:tc>
        <w:tc>
          <w:tcPr>
            <w:tcW w:w="2680" w:type="dxa"/>
            <w:tcBorders>
              <w:top w:val="single" w:sz="6" w:space="0" w:color="auto"/>
              <w:left w:val="single" w:sz="6" w:space="0" w:color="auto"/>
              <w:bottom w:val="single" w:sz="6" w:space="0" w:color="auto"/>
              <w:right w:val="double" w:sz="6" w:space="0" w:color="auto"/>
            </w:tcBorders>
          </w:tcPr>
          <w:p w:rsidR="00434272" w:rsidRPr="003E1D7E" w:rsidRDefault="00434272" w:rsidP="00B972FD">
            <w:pPr>
              <w:jc w:val="both"/>
              <w:rPr>
                <w:rFonts w:ascii="Arial" w:eastAsiaTheme="minorEastAsia" w:hAnsi="Arial" w:cs="Arial"/>
                <w:b/>
                <w:i/>
              </w:rPr>
            </w:pP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2007</w:t>
            </w:r>
          </w:p>
        </w:tc>
        <w:tc>
          <w:tcPr>
            <w:tcW w:w="126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2011</w:t>
            </w:r>
          </w:p>
        </w:tc>
        <w:tc>
          <w:tcPr>
            <w:tcW w:w="398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ЗАО "Управляющая компания "Эталон"</w:t>
            </w:r>
          </w:p>
        </w:tc>
        <w:tc>
          <w:tcPr>
            <w:tcW w:w="2680" w:type="dxa"/>
            <w:tcBorders>
              <w:top w:val="single" w:sz="6" w:space="0" w:color="auto"/>
              <w:left w:val="single" w:sz="6" w:space="0" w:color="auto"/>
              <w:bottom w:val="single" w:sz="6" w:space="0" w:color="auto"/>
              <w:right w:val="doub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Начальник договорного отдела Юридического департамента</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2011</w:t>
            </w:r>
          </w:p>
        </w:tc>
        <w:tc>
          <w:tcPr>
            <w:tcW w:w="126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ЗАО "Управляющая компания "Эталон"</w:t>
            </w:r>
          </w:p>
        </w:tc>
        <w:tc>
          <w:tcPr>
            <w:tcW w:w="2680" w:type="dxa"/>
            <w:tcBorders>
              <w:top w:val="single" w:sz="6" w:space="0" w:color="auto"/>
              <w:left w:val="single" w:sz="6" w:space="0" w:color="auto"/>
              <w:bottom w:val="single" w:sz="6" w:space="0" w:color="auto"/>
              <w:right w:val="doub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Директор Юридического департамента</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ЗАО ССМО "ЛенСпецСМУ"</w:t>
            </w:r>
          </w:p>
        </w:tc>
        <w:tc>
          <w:tcPr>
            <w:tcW w:w="2680" w:type="dxa"/>
            <w:tcBorders>
              <w:top w:val="single" w:sz="6" w:space="0" w:color="auto"/>
              <w:left w:val="single" w:sz="6" w:space="0" w:color="auto"/>
              <w:bottom w:val="single" w:sz="6" w:space="0" w:color="auto"/>
              <w:right w:val="doub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2015</w:t>
            </w:r>
          </w:p>
        </w:tc>
        <w:tc>
          <w:tcPr>
            <w:tcW w:w="398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ЗАО "АКТИВ"</w:t>
            </w:r>
          </w:p>
        </w:tc>
        <w:tc>
          <w:tcPr>
            <w:tcW w:w="2680" w:type="dxa"/>
            <w:tcBorders>
              <w:top w:val="single" w:sz="6" w:space="0" w:color="auto"/>
              <w:left w:val="single" w:sz="6" w:space="0" w:color="auto"/>
              <w:bottom w:val="single" w:sz="6" w:space="0" w:color="auto"/>
              <w:right w:val="doub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ЗАО "ЗСМ "Эталон"</w:t>
            </w:r>
          </w:p>
        </w:tc>
        <w:tc>
          <w:tcPr>
            <w:tcW w:w="2680" w:type="dxa"/>
            <w:tcBorders>
              <w:top w:val="single" w:sz="6" w:space="0" w:color="auto"/>
              <w:left w:val="single" w:sz="6" w:space="0" w:color="auto"/>
              <w:bottom w:val="single" w:sz="6" w:space="0" w:color="auto"/>
              <w:right w:val="doub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ЗАО "ЛенСпецСМУ-Реконструкция"</w:t>
            </w:r>
          </w:p>
        </w:tc>
        <w:tc>
          <w:tcPr>
            <w:tcW w:w="2680" w:type="dxa"/>
            <w:tcBorders>
              <w:top w:val="single" w:sz="6" w:space="0" w:color="auto"/>
              <w:left w:val="single" w:sz="6" w:space="0" w:color="auto"/>
              <w:bottom w:val="single" w:sz="6" w:space="0" w:color="auto"/>
              <w:right w:val="doub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ЗАО "СПб МФТЦ"</w:t>
            </w:r>
          </w:p>
        </w:tc>
        <w:tc>
          <w:tcPr>
            <w:tcW w:w="2680" w:type="dxa"/>
            <w:tcBorders>
              <w:top w:val="single" w:sz="6" w:space="0" w:color="auto"/>
              <w:left w:val="single" w:sz="6" w:space="0" w:color="auto"/>
              <w:bottom w:val="single" w:sz="6" w:space="0" w:color="auto"/>
              <w:right w:val="doub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ЗАО "Новатор"</w:t>
            </w:r>
          </w:p>
        </w:tc>
        <w:tc>
          <w:tcPr>
            <w:tcW w:w="2680" w:type="dxa"/>
            <w:tcBorders>
              <w:top w:val="single" w:sz="6" w:space="0" w:color="auto"/>
              <w:left w:val="single" w:sz="6" w:space="0" w:color="auto"/>
              <w:bottom w:val="single" w:sz="6" w:space="0" w:color="auto"/>
              <w:right w:val="doub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ЗАО "ЦУН"</w:t>
            </w:r>
          </w:p>
        </w:tc>
        <w:tc>
          <w:tcPr>
            <w:tcW w:w="2680" w:type="dxa"/>
            <w:tcBorders>
              <w:top w:val="single" w:sz="6" w:space="0" w:color="auto"/>
              <w:left w:val="single" w:sz="6" w:space="0" w:color="auto"/>
              <w:bottom w:val="single" w:sz="6" w:space="0" w:color="auto"/>
              <w:right w:val="doub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ЗАО «УСР «Нулевик»</w:t>
            </w:r>
          </w:p>
        </w:tc>
        <w:tc>
          <w:tcPr>
            <w:tcW w:w="2680" w:type="dxa"/>
            <w:tcBorders>
              <w:top w:val="single" w:sz="6" w:space="0" w:color="auto"/>
              <w:left w:val="single" w:sz="6" w:space="0" w:color="auto"/>
              <w:bottom w:val="single" w:sz="6" w:space="0" w:color="auto"/>
              <w:right w:val="doub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ЗАО «УПТК-ЛенСпецСМУ»</w:t>
            </w:r>
          </w:p>
        </w:tc>
        <w:tc>
          <w:tcPr>
            <w:tcW w:w="2680" w:type="dxa"/>
            <w:tcBorders>
              <w:top w:val="single" w:sz="6" w:space="0" w:color="auto"/>
              <w:left w:val="single" w:sz="6" w:space="0" w:color="auto"/>
              <w:bottom w:val="single" w:sz="6" w:space="0" w:color="auto"/>
              <w:right w:val="doub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ЗАО "ЭталонПроект"</w:t>
            </w:r>
          </w:p>
        </w:tc>
        <w:tc>
          <w:tcPr>
            <w:tcW w:w="2680" w:type="dxa"/>
            <w:tcBorders>
              <w:top w:val="single" w:sz="6" w:space="0" w:color="auto"/>
              <w:left w:val="single" w:sz="6" w:space="0" w:color="auto"/>
              <w:bottom w:val="single" w:sz="6" w:space="0" w:color="auto"/>
              <w:right w:val="doub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ЗАО "ЭталонПромстрой"</w:t>
            </w:r>
          </w:p>
        </w:tc>
        <w:tc>
          <w:tcPr>
            <w:tcW w:w="2680" w:type="dxa"/>
            <w:tcBorders>
              <w:top w:val="single" w:sz="6" w:space="0" w:color="auto"/>
              <w:left w:val="single" w:sz="6" w:space="0" w:color="auto"/>
              <w:bottom w:val="single" w:sz="6" w:space="0" w:color="auto"/>
              <w:right w:val="doub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2015</w:t>
            </w:r>
          </w:p>
        </w:tc>
        <w:tc>
          <w:tcPr>
            <w:tcW w:w="398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ЗАО «ЭталонСтрой-РиО»</w:t>
            </w:r>
          </w:p>
        </w:tc>
        <w:tc>
          <w:tcPr>
            <w:tcW w:w="2680" w:type="dxa"/>
            <w:tcBorders>
              <w:top w:val="single" w:sz="6" w:space="0" w:color="auto"/>
              <w:left w:val="single" w:sz="6" w:space="0" w:color="auto"/>
              <w:bottom w:val="single" w:sz="6" w:space="0" w:color="auto"/>
              <w:right w:val="doub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ЗАО "СервисГараж"</w:t>
            </w:r>
          </w:p>
        </w:tc>
        <w:tc>
          <w:tcPr>
            <w:tcW w:w="2680" w:type="dxa"/>
            <w:tcBorders>
              <w:top w:val="single" w:sz="6" w:space="0" w:color="auto"/>
              <w:left w:val="single" w:sz="6" w:space="0" w:color="auto"/>
              <w:bottom w:val="single" w:sz="6" w:space="0" w:color="auto"/>
              <w:right w:val="doub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ЗАО "Сервис-Недвижимость"</w:t>
            </w:r>
          </w:p>
        </w:tc>
        <w:tc>
          <w:tcPr>
            <w:tcW w:w="2680" w:type="dxa"/>
            <w:tcBorders>
              <w:top w:val="single" w:sz="6" w:space="0" w:color="auto"/>
              <w:left w:val="single" w:sz="6" w:space="0" w:color="auto"/>
              <w:bottom w:val="single" w:sz="6" w:space="0" w:color="auto"/>
              <w:right w:val="doub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ЗАО "ГК "Эталон"</w:t>
            </w:r>
          </w:p>
        </w:tc>
        <w:tc>
          <w:tcPr>
            <w:tcW w:w="2680" w:type="dxa"/>
            <w:tcBorders>
              <w:top w:val="single" w:sz="6" w:space="0" w:color="auto"/>
              <w:left w:val="single" w:sz="6" w:space="0" w:color="auto"/>
              <w:bottom w:val="single" w:sz="6" w:space="0" w:color="auto"/>
              <w:right w:val="doub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Директор Юридического департамента</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ОАО "Технологическое оснащение"</w:t>
            </w:r>
          </w:p>
        </w:tc>
        <w:tc>
          <w:tcPr>
            <w:tcW w:w="2680" w:type="dxa"/>
            <w:tcBorders>
              <w:top w:val="single" w:sz="6" w:space="0" w:color="auto"/>
              <w:left w:val="single" w:sz="6" w:space="0" w:color="auto"/>
              <w:bottom w:val="single" w:sz="6" w:space="0" w:color="auto"/>
              <w:right w:val="doub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ОАО "СМУ "Электронстрой"</w:t>
            </w:r>
          </w:p>
        </w:tc>
        <w:tc>
          <w:tcPr>
            <w:tcW w:w="2680" w:type="dxa"/>
            <w:tcBorders>
              <w:top w:val="single" w:sz="6" w:space="0" w:color="auto"/>
              <w:left w:val="single" w:sz="6" w:space="0" w:color="auto"/>
              <w:bottom w:val="single" w:sz="6" w:space="0" w:color="auto"/>
              <w:right w:val="doub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ЗАО "СУ-267"</w:t>
            </w:r>
          </w:p>
        </w:tc>
        <w:tc>
          <w:tcPr>
            <w:tcW w:w="2680" w:type="dxa"/>
            <w:tcBorders>
              <w:top w:val="single" w:sz="6" w:space="0" w:color="auto"/>
              <w:left w:val="single" w:sz="6" w:space="0" w:color="auto"/>
              <w:bottom w:val="single" w:sz="6" w:space="0" w:color="auto"/>
              <w:right w:val="doub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член Наблюдательного совета</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ООО "ЭталонПроект"</w:t>
            </w:r>
          </w:p>
        </w:tc>
        <w:tc>
          <w:tcPr>
            <w:tcW w:w="2680" w:type="dxa"/>
            <w:tcBorders>
              <w:top w:val="single" w:sz="6" w:space="0" w:color="auto"/>
              <w:left w:val="single" w:sz="6" w:space="0" w:color="auto"/>
              <w:bottom w:val="single" w:sz="6" w:space="0" w:color="auto"/>
              <w:right w:val="doub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ООО "ЛенСпецСМУ-Комфорт"</w:t>
            </w:r>
          </w:p>
        </w:tc>
        <w:tc>
          <w:tcPr>
            <w:tcW w:w="2680" w:type="dxa"/>
            <w:tcBorders>
              <w:top w:val="single" w:sz="6" w:space="0" w:color="auto"/>
              <w:left w:val="single" w:sz="6" w:space="0" w:color="auto"/>
              <w:bottom w:val="single" w:sz="6" w:space="0" w:color="auto"/>
              <w:right w:val="doub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ЗАО "Электронстрой"</w:t>
            </w:r>
          </w:p>
        </w:tc>
        <w:tc>
          <w:tcPr>
            <w:tcW w:w="2680" w:type="dxa"/>
            <w:tcBorders>
              <w:top w:val="single" w:sz="6" w:space="0" w:color="auto"/>
              <w:left w:val="single" w:sz="6" w:space="0" w:color="auto"/>
              <w:bottom w:val="single" w:sz="6" w:space="0" w:color="auto"/>
              <w:right w:val="doub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2015</w:t>
            </w:r>
          </w:p>
        </w:tc>
        <w:tc>
          <w:tcPr>
            <w:tcW w:w="126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ООО "ЭталонАктив"</w:t>
            </w:r>
          </w:p>
        </w:tc>
        <w:tc>
          <w:tcPr>
            <w:tcW w:w="2680" w:type="dxa"/>
            <w:tcBorders>
              <w:top w:val="single" w:sz="6" w:space="0" w:color="auto"/>
              <w:left w:val="single" w:sz="6" w:space="0" w:color="auto"/>
              <w:bottom w:val="single" w:sz="6" w:space="0" w:color="auto"/>
              <w:right w:val="doub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doub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2015</w:t>
            </w:r>
          </w:p>
        </w:tc>
        <w:tc>
          <w:tcPr>
            <w:tcW w:w="1260" w:type="dxa"/>
            <w:tcBorders>
              <w:top w:val="single" w:sz="6" w:space="0" w:color="auto"/>
              <w:left w:val="single" w:sz="6" w:space="0" w:color="auto"/>
              <w:bottom w:val="doub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настоящее время</w:t>
            </w:r>
          </w:p>
        </w:tc>
        <w:tc>
          <w:tcPr>
            <w:tcW w:w="3980" w:type="dxa"/>
            <w:tcBorders>
              <w:top w:val="single" w:sz="6" w:space="0" w:color="auto"/>
              <w:left w:val="single" w:sz="6" w:space="0" w:color="auto"/>
              <w:bottom w:val="double" w:sz="6" w:space="0" w:color="auto"/>
              <w:right w:val="sing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ООО "СМУ "Электронстрой-Эталон"</w:t>
            </w:r>
          </w:p>
        </w:tc>
        <w:tc>
          <w:tcPr>
            <w:tcW w:w="2680" w:type="dxa"/>
            <w:tcBorders>
              <w:top w:val="single" w:sz="6" w:space="0" w:color="auto"/>
              <w:left w:val="single" w:sz="6" w:space="0" w:color="auto"/>
              <w:bottom w:val="double" w:sz="6" w:space="0" w:color="auto"/>
              <w:right w:val="double" w:sz="6" w:space="0" w:color="auto"/>
            </w:tcBorders>
          </w:tcPr>
          <w:p w:rsidR="00434272" w:rsidRPr="003E1D7E" w:rsidRDefault="00434272" w:rsidP="00B972FD">
            <w:pPr>
              <w:jc w:val="both"/>
              <w:rPr>
                <w:rFonts w:ascii="Arial" w:eastAsiaTheme="minorEastAsia" w:hAnsi="Arial" w:cs="Arial"/>
                <w:b/>
                <w:i/>
              </w:rPr>
            </w:pPr>
            <w:r w:rsidRPr="003E1D7E">
              <w:rPr>
                <w:rFonts w:ascii="Arial" w:eastAsiaTheme="minorEastAsia" w:hAnsi="Arial" w:cs="Arial"/>
                <w:b/>
                <w:i/>
              </w:rPr>
              <w:t>член Совета директоров</w:t>
            </w:r>
          </w:p>
        </w:tc>
      </w:tr>
    </w:tbl>
    <w:p w:rsidR="00434272" w:rsidRDefault="00434272" w:rsidP="00434272">
      <w:pPr>
        <w:pStyle w:val="ThinDelim"/>
        <w:jc w:val="both"/>
        <w:rPr>
          <w:rFonts w:eastAsiaTheme="minorEastAsia"/>
          <w:szCs w:val="20"/>
        </w:rPr>
      </w:pPr>
    </w:p>
    <w:p w:rsidR="00434272" w:rsidRPr="0020025F" w:rsidRDefault="00434272" w:rsidP="00434272">
      <w:pPr>
        <w:pStyle w:val="ConsPlusNormal"/>
        <w:ind w:firstLine="540"/>
        <w:jc w:val="both"/>
        <w:rPr>
          <w:b/>
          <w:i/>
        </w:rPr>
      </w:pPr>
      <w:r>
        <w:rPr>
          <w:rFonts w:ascii="Times New Roman" w:hAnsi="Times New Roman" w:cs="Times New Roman"/>
        </w:rPr>
        <w:t xml:space="preserve">доля участия такого лица в уставном капитале эмитента, являющегося коммерческой организацией: </w:t>
      </w:r>
      <w:r w:rsidRPr="0020025F">
        <w:rPr>
          <w:b/>
          <w:i/>
        </w:rPr>
        <w:t>доли не имеет</w:t>
      </w:r>
    </w:p>
    <w:p w:rsidR="00434272" w:rsidRDefault="00434272" w:rsidP="00434272">
      <w:pPr>
        <w:pStyle w:val="ConsPlusNormal"/>
        <w:ind w:firstLine="540"/>
        <w:jc w:val="both"/>
        <w:rPr>
          <w:rFonts w:ascii="Times New Roman" w:hAnsi="Times New Roman" w:cs="Times New Roman"/>
        </w:rPr>
      </w:pPr>
      <w:r>
        <w:rPr>
          <w:rFonts w:ascii="Times New Roman" w:hAnsi="Times New Roman" w:cs="Times New Roman"/>
        </w:rPr>
        <w:t>доля принадлежащих такому лицу обыкновенных акций эмитента:</w:t>
      </w:r>
      <w:r w:rsidRPr="003E1D7E">
        <w:rPr>
          <w:b/>
          <w:i/>
        </w:rPr>
        <w:t xml:space="preserve"> </w:t>
      </w:r>
      <w:r w:rsidRPr="0020025F">
        <w:rPr>
          <w:b/>
          <w:i/>
        </w:rPr>
        <w:t>доли не имеет</w:t>
      </w:r>
    </w:p>
    <w:p w:rsidR="00434272" w:rsidRPr="003E1D7E" w:rsidRDefault="00434272" w:rsidP="00434272">
      <w:pPr>
        <w:pStyle w:val="ConsPlusNormal"/>
        <w:ind w:firstLine="540"/>
        <w:jc w:val="both"/>
        <w:rPr>
          <w:b/>
          <w:i/>
        </w:rPr>
      </w:pPr>
      <w:r>
        <w:rPr>
          <w:rFonts w:ascii="Times New Roman" w:hAnsi="Times New Roman" w:cs="Times New Roman"/>
        </w:rPr>
        <w:t xml:space="preserve">количество акций эмитента каждой категории (типа), которые могут быть приобретены таким лицом в результате осуществления прав по принадлежащим ему опционам эмитента: </w:t>
      </w:r>
      <w:r w:rsidRPr="003E1D7E">
        <w:rPr>
          <w:b/>
          <w:i/>
        </w:rPr>
        <w:t>0 штук</w:t>
      </w:r>
    </w:p>
    <w:p w:rsidR="00434272" w:rsidRDefault="00434272" w:rsidP="00434272">
      <w:pPr>
        <w:pStyle w:val="ConsPlusNormal"/>
        <w:ind w:firstLine="540"/>
        <w:jc w:val="both"/>
        <w:rPr>
          <w:rFonts w:ascii="Times New Roman" w:hAnsi="Times New Roman" w:cs="Times New Roman"/>
        </w:rPr>
      </w:pPr>
      <w:r>
        <w:rPr>
          <w:rFonts w:ascii="Times New Roman" w:hAnsi="Times New Roman" w:cs="Times New Roman"/>
        </w:rPr>
        <w:t xml:space="preserve">доля участия такого лица в уставном капитале дочерних и зависимых обществ эмитента: </w:t>
      </w:r>
      <w:r w:rsidRPr="0020025F">
        <w:rPr>
          <w:b/>
          <w:i/>
        </w:rPr>
        <w:t>доли не имеет</w:t>
      </w:r>
    </w:p>
    <w:p w:rsidR="00434272" w:rsidRDefault="00434272" w:rsidP="00434272">
      <w:pPr>
        <w:pStyle w:val="ConsPlusNormal"/>
        <w:ind w:firstLine="540"/>
        <w:jc w:val="both"/>
        <w:rPr>
          <w:rFonts w:ascii="Times New Roman" w:hAnsi="Times New Roman" w:cs="Times New Roman"/>
        </w:rPr>
      </w:pPr>
      <w:r>
        <w:rPr>
          <w:rFonts w:ascii="Times New Roman" w:hAnsi="Times New Roman" w:cs="Times New Roman"/>
        </w:rPr>
        <w:t xml:space="preserve">доля принадлежащих такому лицу обыкновенных акций дочернего или зависимого общества эмитента и количества акций дочернего или зависимого общества эмитента каждой категории (типа), которые могут быть приобретены таким лицом в результате осуществления прав по принадлежащим ему опционам дочернего или зависимого общества эмитента: </w:t>
      </w:r>
      <w:r w:rsidRPr="0020025F">
        <w:rPr>
          <w:b/>
          <w:i/>
        </w:rPr>
        <w:t>доли не имеет</w:t>
      </w:r>
    </w:p>
    <w:p w:rsidR="00434272" w:rsidRPr="0020025F" w:rsidRDefault="00434272" w:rsidP="00434272">
      <w:pPr>
        <w:ind w:firstLine="540"/>
        <w:jc w:val="both"/>
        <w:rPr>
          <w:rFonts w:ascii="Arial" w:eastAsiaTheme="minorHAnsi" w:hAnsi="Arial" w:cs="Arial"/>
          <w:b/>
          <w:i/>
          <w:lang w:eastAsia="en-US"/>
        </w:rPr>
      </w:pPr>
      <w:r>
        <w:t xml:space="preserve">характер любых родственных связей с лицами, входящими в состав органов управления эмитента и (или) органов контроля за финансово-хозяйственной деятельностью эмитента: </w:t>
      </w:r>
      <w:r w:rsidRPr="0020025F">
        <w:rPr>
          <w:rFonts w:ascii="Arial" w:eastAsiaTheme="minorHAnsi" w:hAnsi="Arial" w:cs="Arial"/>
          <w:b/>
          <w:i/>
          <w:lang w:eastAsia="en-US"/>
        </w:rPr>
        <w:t>Указанных родственных связей нет</w:t>
      </w:r>
    </w:p>
    <w:p w:rsidR="00434272" w:rsidRPr="0020025F" w:rsidRDefault="00434272" w:rsidP="00434272">
      <w:pPr>
        <w:ind w:firstLine="540"/>
        <w:jc w:val="both"/>
        <w:rPr>
          <w:rFonts w:ascii="Arial" w:eastAsiaTheme="minorHAnsi" w:hAnsi="Arial" w:cs="Arial"/>
          <w:b/>
          <w:i/>
          <w:lang w:eastAsia="en-US"/>
        </w:rPr>
      </w:pPr>
      <w:r>
        <w:t xml:space="preserve">сведения о привлечении к административной ответственности за правонарушения в области финансов, налогов и сборов, рынка ценных бумаг или уголовной ответственности (наличии судимости) за преступления в сфере экономики и (или) за преступления против государственной власти: </w:t>
      </w:r>
      <w:r w:rsidRPr="0020025F">
        <w:rPr>
          <w:rFonts w:ascii="Arial" w:eastAsiaTheme="minorHAnsi" w:hAnsi="Arial" w:cs="Arial"/>
          <w:b/>
          <w:i/>
          <w:lang w:eastAsia="en-US"/>
        </w:rPr>
        <w:t>Лицо к указанным видам ответственности не привлекалось</w:t>
      </w:r>
    </w:p>
    <w:p w:rsidR="00434272" w:rsidRDefault="00434272" w:rsidP="00434272">
      <w:pPr>
        <w:ind w:firstLine="540"/>
        <w:jc w:val="both"/>
        <w:rPr>
          <w:rFonts w:eastAsiaTheme="minorEastAsia"/>
        </w:rPr>
      </w:pPr>
      <w:r>
        <w:t xml:space="preserve">сведения о занятии должностей в органах управления коммерческих организаций в период, когда в отношении указанных организаций было возбуждено дело о банкротстве и (или) введена одна из процедур банкротства, предусмотренных законодательством Российской Федерации о несостоятельности (банкротстве): </w:t>
      </w:r>
      <w:r w:rsidRPr="0020025F">
        <w:rPr>
          <w:rFonts w:ascii="Arial" w:eastAsiaTheme="minorHAnsi" w:hAnsi="Arial" w:cs="Arial"/>
          <w:b/>
          <w:i/>
          <w:lang w:eastAsia="en-US"/>
        </w:rPr>
        <w:t>Лицо указанных должностей не занимало</w:t>
      </w:r>
    </w:p>
    <w:p w:rsidR="00434272" w:rsidRDefault="00434272" w:rsidP="00434272">
      <w:pPr>
        <w:pStyle w:val="ConsPlusNormal"/>
        <w:ind w:firstLine="567"/>
        <w:jc w:val="both"/>
        <w:rPr>
          <w:b/>
          <w:bCs/>
          <w:i/>
          <w:iCs/>
        </w:rPr>
      </w:pPr>
      <w:r>
        <w:rPr>
          <w:rFonts w:ascii="Times New Roman" w:hAnsi="Times New Roman" w:cs="Times New Roman"/>
        </w:rPr>
        <w:t xml:space="preserve">По каждому члену совета директоров (наблюдательного совета) эмитента дополнительно указываются сведения об участии (член комитета, председатель комитета) в работе комитетов совета директоров (наблюдательного совета) с указанием названия комитета (комитетов): </w:t>
      </w:r>
      <w:r>
        <w:rPr>
          <w:b/>
          <w:bCs/>
          <w:i/>
          <w:iCs/>
        </w:rPr>
        <w:t>не участвует</w:t>
      </w:r>
    </w:p>
    <w:p w:rsidR="00434272" w:rsidRDefault="00434272" w:rsidP="00434272">
      <w:pPr>
        <w:pStyle w:val="ConsPlusNormal"/>
        <w:ind w:firstLine="567"/>
        <w:jc w:val="both"/>
        <w:rPr>
          <w:rFonts w:ascii="Times New Roman" w:hAnsi="Times New Roman" w:cs="Times New Roman"/>
        </w:rPr>
      </w:pPr>
      <w:r>
        <w:rPr>
          <w:rFonts w:ascii="Times New Roman" w:hAnsi="Times New Roman" w:cs="Times New Roman"/>
        </w:rPr>
        <w:t xml:space="preserve">Приводятся также сведения о членах совета директоров (наблюдательного совета), которых эмитент считает независимыми: </w:t>
      </w:r>
      <w:r>
        <w:rPr>
          <w:b/>
          <w:bCs/>
          <w:i/>
          <w:iCs/>
        </w:rPr>
        <w:t>является независимым директором</w:t>
      </w:r>
    </w:p>
    <w:p w:rsidR="00434272" w:rsidRDefault="00434272" w:rsidP="00434272">
      <w:pPr>
        <w:pStyle w:val="ConsPlusNormal"/>
        <w:ind w:firstLine="540"/>
        <w:jc w:val="both"/>
        <w:rPr>
          <w:rFonts w:ascii="Times New Roman" w:hAnsi="Times New Roman" w:cs="Times New Roman"/>
        </w:rPr>
      </w:pPr>
    </w:p>
    <w:p w:rsidR="00434272" w:rsidRPr="00023C16" w:rsidRDefault="00434272" w:rsidP="00434272">
      <w:pPr>
        <w:pStyle w:val="ConsPlusNormal"/>
        <w:jc w:val="both"/>
        <w:rPr>
          <w:b/>
          <w:bCs/>
          <w:i/>
          <w:iCs/>
          <w:u w:val="single"/>
        </w:rPr>
      </w:pPr>
      <w:r w:rsidRPr="00023C16">
        <w:rPr>
          <w:b/>
          <w:bCs/>
          <w:i/>
          <w:iCs/>
          <w:u w:val="single"/>
        </w:rPr>
        <w:t>Информация о единоличном исполнительном органе Эмитента:</w:t>
      </w:r>
    </w:p>
    <w:p w:rsidR="00434272" w:rsidRDefault="00434272" w:rsidP="00434272">
      <w:pPr>
        <w:pStyle w:val="ConsPlusNormal"/>
        <w:ind w:firstLine="567"/>
        <w:jc w:val="both"/>
        <w:rPr>
          <w:b/>
          <w:bCs/>
          <w:i/>
          <w:iCs/>
        </w:rPr>
      </w:pPr>
    </w:p>
    <w:p w:rsidR="00434272" w:rsidRPr="0084445E" w:rsidRDefault="00434272" w:rsidP="00434272">
      <w:pPr>
        <w:ind w:firstLine="567"/>
        <w:jc w:val="both"/>
        <w:rPr>
          <w:rFonts w:ascii="Arial" w:eastAsiaTheme="minorHAnsi" w:hAnsi="Arial" w:cs="Arial"/>
          <w:b/>
          <w:bCs/>
          <w:i/>
          <w:iCs/>
          <w:lang w:eastAsia="en-US"/>
        </w:rPr>
      </w:pPr>
      <w:r>
        <w:t>фамилия, имя, отчество:</w:t>
      </w:r>
      <w:r w:rsidRPr="009D1CD4">
        <w:rPr>
          <w:rFonts w:eastAsiaTheme="minorEastAsia"/>
        </w:rPr>
        <w:t xml:space="preserve"> </w:t>
      </w:r>
      <w:r w:rsidRPr="0084445E">
        <w:rPr>
          <w:rFonts w:ascii="Arial" w:eastAsiaTheme="minorHAnsi" w:hAnsi="Arial" w:cs="Arial"/>
          <w:b/>
          <w:bCs/>
          <w:i/>
          <w:iCs/>
          <w:lang w:eastAsia="en-US"/>
        </w:rPr>
        <w:t>Щербина Геннадий Филиппович</w:t>
      </w:r>
    </w:p>
    <w:p w:rsidR="00434272" w:rsidRDefault="00434272" w:rsidP="00434272">
      <w:pPr>
        <w:ind w:firstLine="567"/>
        <w:jc w:val="both"/>
      </w:pPr>
      <w:r>
        <w:t xml:space="preserve">год рождения: </w:t>
      </w:r>
      <w:r w:rsidRPr="0084445E">
        <w:rPr>
          <w:rFonts w:ascii="Arial" w:eastAsiaTheme="minorHAnsi" w:hAnsi="Arial" w:cs="Arial"/>
          <w:b/>
          <w:bCs/>
          <w:i/>
          <w:iCs/>
          <w:lang w:eastAsia="en-US"/>
        </w:rPr>
        <w:t>19</w:t>
      </w:r>
      <w:r>
        <w:rPr>
          <w:rFonts w:ascii="Arial" w:eastAsiaTheme="minorHAnsi" w:hAnsi="Arial" w:cs="Arial"/>
          <w:b/>
          <w:bCs/>
          <w:i/>
          <w:iCs/>
          <w:lang w:eastAsia="en-US"/>
        </w:rPr>
        <w:t>55</w:t>
      </w:r>
    </w:p>
    <w:p w:rsidR="00434272" w:rsidRDefault="00434272" w:rsidP="00434272">
      <w:pPr>
        <w:pStyle w:val="ConsPlusNormal"/>
        <w:ind w:firstLine="567"/>
        <w:jc w:val="both"/>
        <w:rPr>
          <w:rFonts w:ascii="Times New Roman" w:hAnsi="Times New Roman" w:cs="Times New Roman"/>
        </w:rPr>
      </w:pPr>
      <w:r>
        <w:rPr>
          <w:rFonts w:ascii="Times New Roman" w:hAnsi="Times New Roman" w:cs="Times New Roman"/>
        </w:rPr>
        <w:t>сведения об образовании:</w:t>
      </w:r>
    </w:p>
    <w:p w:rsidR="00434272" w:rsidRDefault="00434272" w:rsidP="00434272">
      <w:pPr>
        <w:pStyle w:val="ConsPlusNormal"/>
        <w:ind w:firstLine="567"/>
        <w:jc w:val="both"/>
        <w:rPr>
          <w:b/>
          <w:bCs/>
          <w:i/>
          <w:iCs/>
        </w:rPr>
      </w:pPr>
      <w:r w:rsidRPr="0084445E">
        <w:rPr>
          <w:b/>
          <w:bCs/>
          <w:i/>
          <w:iCs/>
        </w:rPr>
        <w:t>1. Высшее профессиональное, Балашовское Высшее военно-авиационное училище летчиков, летчик-инженер.</w:t>
      </w:r>
    </w:p>
    <w:p w:rsidR="00434272" w:rsidRDefault="00434272" w:rsidP="00434272">
      <w:pPr>
        <w:pStyle w:val="ConsPlusNormal"/>
        <w:ind w:firstLine="567"/>
        <w:jc w:val="both"/>
        <w:rPr>
          <w:b/>
          <w:bCs/>
          <w:i/>
          <w:iCs/>
        </w:rPr>
      </w:pPr>
      <w:r w:rsidRPr="0084445E">
        <w:rPr>
          <w:b/>
          <w:bCs/>
          <w:i/>
          <w:iCs/>
        </w:rPr>
        <w:t>2. Высшее профессиональное, Военно-морская академия им. А.А. Гречко,  офицер с высшим военным образованием.</w:t>
      </w:r>
    </w:p>
    <w:p w:rsidR="00434272" w:rsidRDefault="00434272" w:rsidP="00434272">
      <w:pPr>
        <w:pStyle w:val="ConsPlusNormal"/>
        <w:ind w:firstLine="567"/>
        <w:jc w:val="both"/>
        <w:rPr>
          <w:b/>
          <w:bCs/>
          <w:i/>
          <w:iCs/>
        </w:rPr>
      </w:pPr>
      <w:r w:rsidRPr="0084445E">
        <w:rPr>
          <w:b/>
          <w:bCs/>
          <w:i/>
          <w:iCs/>
        </w:rPr>
        <w:t>3. Высшее профессиональное, Аспирантура при Военно-морской академии им. А.А. Гречко, к.в.н.</w:t>
      </w:r>
    </w:p>
    <w:p w:rsidR="00434272" w:rsidRDefault="00434272" w:rsidP="00434272">
      <w:pPr>
        <w:pStyle w:val="ConsPlusNormal"/>
        <w:ind w:firstLine="567"/>
        <w:jc w:val="both"/>
        <w:rPr>
          <w:b/>
          <w:bCs/>
          <w:i/>
          <w:iCs/>
        </w:rPr>
      </w:pPr>
      <w:r w:rsidRPr="0084445E">
        <w:rPr>
          <w:b/>
          <w:bCs/>
          <w:i/>
          <w:iCs/>
        </w:rPr>
        <w:t>4. Профессиональная переподготовка, СПБГАСУ, курс «Промышленное и гражданское строительство».</w:t>
      </w:r>
    </w:p>
    <w:p w:rsidR="00434272" w:rsidRPr="0084445E" w:rsidRDefault="00434272" w:rsidP="00434272">
      <w:pPr>
        <w:pStyle w:val="ConsPlusNormal"/>
        <w:ind w:firstLine="567"/>
        <w:jc w:val="both"/>
        <w:rPr>
          <w:b/>
          <w:bCs/>
          <w:i/>
          <w:iCs/>
        </w:rPr>
      </w:pPr>
      <w:r w:rsidRPr="0084445E">
        <w:rPr>
          <w:b/>
          <w:bCs/>
          <w:i/>
          <w:iCs/>
        </w:rPr>
        <w:t>5. Профессиональная переподготовка, СПБГАСУ, курс «Экономика и управление на предприятии строительства»</w:t>
      </w:r>
      <w:r w:rsidR="00256369">
        <w:rPr>
          <w:b/>
          <w:bCs/>
          <w:i/>
          <w:iCs/>
        </w:rPr>
        <w:t>, доктор экономических наук</w:t>
      </w:r>
      <w:r w:rsidRPr="0084445E">
        <w:rPr>
          <w:b/>
          <w:bCs/>
          <w:i/>
          <w:iCs/>
        </w:rPr>
        <w:t>.</w:t>
      </w:r>
    </w:p>
    <w:p w:rsidR="00434272" w:rsidRDefault="00434272" w:rsidP="00434272">
      <w:pPr>
        <w:pStyle w:val="ConsPlusNormal"/>
        <w:ind w:firstLine="567"/>
        <w:jc w:val="both"/>
        <w:rPr>
          <w:rFonts w:ascii="Times New Roman" w:hAnsi="Times New Roman" w:cs="Times New Roman"/>
        </w:rPr>
      </w:pPr>
      <w:r>
        <w:rPr>
          <w:rFonts w:ascii="Times New Roman" w:hAnsi="Times New Roman" w:cs="Times New Roman"/>
        </w:rPr>
        <w:t>все должности, занимаемые таким лицом в эмитенте и других организациях за последние пять лет и в настоящее время в хронологическом порядке, в том числе по совместительству:</w:t>
      </w:r>
    </w:p>
    <w:p w:rsidR="00434272" w:rsidRDefault="00434272" w:rsidP="00434272">
      <w:pPr>
        <w:pStyle w:val="ThinDelim"/>
        <w:jc w:val="both"/>
        <w:rPr>
          <w:rFonts w:eastAsiaTheme="minorEastAsia"/>
          <w:szCs w:val="20"/>
        </w:rPr>
      </w:pPr>
    </w:p>
    <w:tbl>
      <w:tblPr>
        <w:tblW w:w="0" w:type="auto"/>
        <w:tblLayout w:type="fixed"/>
        <w:tblCellMar>
          <w:left w:w="72" w:type="dxa"/>
          <w:right w:w="72" w:type="dxa"/>
        </w:tblCellMar>
        <w:tblLook w:val="0000" w:firstRow="0" w:lastRow="0" w:firstColumn="0" w:lastColumn="0" w:noHBand="0" w:noVBand="0"/>
      </w:tblPr>
      <w:tblGrid>
        <w:gridCol w:w="1332"/>
        <w:gridCol w:w="1260"/>
        <w:gridCol w:w="3980"/>
        <w:gridCol w:w="2680"/>
      </w:tblGrid>
      <w:tr w:rsidR="00434272" w:rsidTr="00B972FD">
        <w:tc>
          <w:tcPr>
            <w:tcW w:w="2592" w:type="dxa"/>
            <w:gridSpan w:val="2"/>
            <w:tcBorders>
              <w:top w:val="doub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Период</w:t>
            </w:r>
          </w:p>
        </w:tc>
        <w:tc>
          <w:tcPr>
            <w:tcW w:w="3980" w:type="dxa"/>
            <w:tcBorders>
              <w:top w:val="doub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Наименование организации</w:t>
            </w:r>
          </w:p>
        </w:tc>
        <w:tc>
          <w:tcPr>
            <w:tcW w:w="2680" w:type="dxa"/>
            <w:tcBorders>
              <w:top w:val="doub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Должность</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с</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по</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2007</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ССМО "ЛенСпецСМУ"</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Генеральный директор, 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2009</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"УСР "Нулевик"</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"СПб МФТЦ"</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"ЛенСпецСМУ-Реконструкция"</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ОАО "СМУ "Электронстрой"</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"ЦУН"</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"ЗСМ "Эталон"</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"Новатор"</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"СервисГараж"</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3764B2" w:rsidP="00B972FD">
            <w:pPr>
              <w:jc w:val="both"/>
              <w:rPr>
                <w:rFonts w:ascii="Arial" w:eastAsiaTheme="minorEastAsia" w:hAnsi="Arial" w:cs="Arial"/>
                <w:b/>
                <w:i/>
              </w:rPr>
            </w:pPr>
            <w:r>
              <w:rPr>
                <w:rFonts w:ascii="Arial" w:eastAsiaTheme="minorEastAsia" w:hAnsi="Arial" w:cs="Arial"/>
                <w:b/>
                <w:i/>
              </w:rPr>
              <w:t>2015</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"ЭталонСтрой-РиО"</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«СУ-267»</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Председатель Наблюдательного совета</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"УПТК-ЛенСпецСМУ"</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2015</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"АКТИВ"</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"ЭталонПромстрой"</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"Электронстрой"</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"Сервис-Недвижимость"</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2012</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"ЭталонПроект"</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2013</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2014</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ОАО "Технологическое оснащение"</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2013</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ООО "УМ "Эталон"</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«Новатор»</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«УПТК-ЛенСпецСМУ»</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ООО "ЭталонПроект"</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ЗАО "ЭталонПромстрой"</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Председатель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2014</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ООО "ЛенСпецСМУ-Комфорт"</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2015</w:t>
            </w:r>
          </w:p>
        </w:tc>
        <w:tc>
          <w:tcPr>
            <w:tcW w:w="126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sing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ООО "ЭталонАктив"</w:t>
            </w:r>
          </w:p>
        </w:tc>
        <w:tc>
          <w:tcPr>
            <w:tcW w:w="2680" w:type="dxa"/>
            <w:tcBorders>
              <w:top w:val="single" w:sz="6" w:space="0" w:color="auto"/>
              <w:left w:val="single" w:sz="6" w:space="0" w:color="auto"/>
              <w:bottom w:val="sing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член Совета директоров</w:t>
            </w:r>
          </w:p>
        </w:tc>
      </w:tr>
      <w:tr w:rsidR="00434272" w:rsidTr="00B972FD">
        <w:tc>
          <w:tcPr>
            <w:tcW w:w="1332" w:type="dxa"/>
            <w:tcBorders>
              <w:top w:val="single" w:sz="6" w:space="0" w:color="auto"/>
              <w:left w:val="double" w:sz="6" w:space="0" w:color="auto"/>
              <w:bottom w:val="doub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2015</w:t>
            </w:r>
          </w:p>
        </w:tc>
        <w:tc>
          <w:tcPr>
            <w:tcW w:w="1260" w:type="dxa"/>
            <w:tcBorders>
              <w:top w:val="single" w:sz="6" w:space="0" w:color="auto"/>
              <w:left w:val="single" w:sz="6" w:space="0" w:color="auto"/>
              <w:bottom w:val="doub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настоящее время</w:t>
            </w:r>
          </w:p>
        </w:tc>
        <w:tc>
          <w:tcPr>
            <w:tcW w:w="3980" w:type="dxa"/>
            <w:tcBorders>
              <w:top w:val="single" w:sz="6" w:space="0" w:color="auto"/>
              <w:left w:val="single" w:sz="6" w:space="0" w:color="auto"/>
              <w:bottom w:val="double" w:sz="6" w:space="0" w:color="auto"/>
              <w:right w:val="sing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ООО "СМУ "Электронстрой-Эталон"</w:t>
            </w:r>
          </w:p>
        </w:tc>
        <w:tc>
          <w:tcPr>
            <w:tcW w:w="2680" w:type="dxa"/>
            <w:tcBorders>
              <w:top w:val="single" w:sz="6" w:space="0" w:color="auto"/>
              <w:left w:val="single" w:sz="6" w:space="0" w:color="auto"/>
              <w:bottom w:val="double" w:sz="6" w:space="0" w:color="auto"/>
              <w:right w:val="double" w:sz="6" w:space="0" w:color="auto"/>
            </w:tcBorders>
          </w:tcPr>
          <w:p w:rsidR="00434272" w:rsidRPr="00676E54" w:rsidRDefault="00434272" w:rsidP="00B972FD">
            <w:pPr>
              <w:jc w:val="both"/>
              <w:rPr>
                <w:rFonts w:ascii="Arial" w:eastAsiaTheme="minorEastAsia" w:hAnsi="Arial" w:cs="Arial"/>
                <w:b/>
                <w:i/>
              </w:rPr>
            </w:pPr>
            <w:r w:rsidRPr="00676E54">
              <w:rPr>
                <w:rFonts w:ascii="Arial" w:eastAsiaTheme="minorEastAsia" w:hAnsi="Arial" w:cs="Arial"/>
                <w:b/>
                <w:i/>
              </w:rPr>
              <w:t>член Совета директоров</w:t>
            </w:r>
          </w:p>
        </w:tc>
      </w:tr>
    </w:tbl>
    <w:p w:rsidR="00434272" w:rsidRDefault="00434272" w:rsidP="00434272">
      <w:pPr>
        <w:pStyle w:val="ThinDelim"/>
        <w:jc w:val="both"/>
        <w:rPr>
          <w:rFonts w:eastAsiaTheme="minorEastAsia"/>
          <w:szCs w:val="20"/>
        </w:rPr>
      </w:pPr>
    </w:p>
    <w:p w:rsidR="00434272" w:rsidRPr="0020025F" w:rsidRDefault="00434272" w:rsidP="00434272">
      <w:pPr>
        <w:pStyle w:val="ConsPlusNormal"/>
        <w:ind w:firstLine="540"/>
        <w:jc w:val="both"/>
        <w:rPr>
          <w:b/>
          <w:i/>
        </w:rPr>
      </w:pPr>
      <w:r>
        <w:rPr>
          <w:rFonts w:ascii="Times New Roman" w:hAnsi="Times New Roman" w:cs="Times New Roman"/>
        </w:rPr>
        <w:t xml:space="preserve">доля участия такого лица в уставном капитале эмитента, являющегося коммерческой организацией: </w:t>
      </w:r>
      <w:r w:rsidRPr="0020025F">
        <w:rPr>
          <w:b/>
          <w:i/>
        </w:rPr>
        <w:t>доли не имеет</w:t>
      </w:r>
    </w:p>
    <w:p w:rsidR="00434272" w:rsidRDefault="00434272" w:rsidP="00434272">
      <w:pPr>
        <w:pStyle w:val="ConsPlusNormal"/>
        <w:ind w:firstLine="540"/>
        <w:jc w:val="both"/>
        <w:rPr>
          <w:rFonts w:ascii="Times New Roman" w:hAnsi="Times New Roman" w:cs="Times New Roman"/>
        </w:rPr>
      </w:pPr>
      <w:r>
        <w:rPr>
          <w:rFonts w:ascii="Times New Roman" w:hAnsi="Times New Roman" w:cs="Times New Roman"/>
        </w:rPr>
        <w:t>доля принадлежащих такому лицу обыкновенных акций эмитента:</w:t>
      </w:r>
      <w:r w:rsidRPr="003E1D7E">
        <w:rPr>
          <w:b/>
          <w:i/>
        </w:rPr>
        <w:t xml:space="preserve"> </w:t>
      </w:r>
      <w:r w:rsidRPr="0020025F">
        <w:rPr>
          <w:b/>
          <w:i/>
        </w:rPr>
        <w:t>доли не имеет</w:t>
      </w:r>
    </w:p>
    <w:p w:rsidR="00434272" w:rsidRPr="003E1D7E" w:rsidRDefault="00434272" w:rsidP="00434272">
      <w:pPr>
        <w:pStyle w:val="ConsPlusNormal"/>
        <w:ind w:firstLine="540"/>
        <w:jc w:val="both"/>
        <w:rPr>
          <w:b/>
          <w:i/>
        </w:rPr>
      </w:pPr>
      <w:r>
        <w:rPr>
          <w:rFonts w:ascii="Times New Roman" w:hAnsi="Times New Roman" w:cs="Times New Roman"/>
        </w:rPr>
        <w:t xml:space="preserve">количество акций эмитента каждой категории (типа), которые могут быть приобретены таким лицом в результате осуществления прав по принадлежащим ему опционам эмитента: </w:t>
      </w:r>
      <w:r w:rsidRPr="003E1D7E">
        <w:rPr>
          <w:b/>
          <w:i/>
        </w:rPr>
        <w:t>0 штук</w:t>
      </w:r>
    </w:p>
    <w:p w:rsidR="00434272" w:rsidRDefault="00434272" w:rsidP="00434272">
      <w:pPr>
        <w:pStyle w:val="ConsPlusNormal"/>
        <w:ind w:firstLine="540"/>
        <w:jc w:val="both"/>
        <w:rPr>
          <w:rFonts w:ascii="Times New Roman" w:hAnsi="Times New Roman" w:cs="Times New Roman"/>
        </w:rPr>
      </w:pPr>
      <w:r>
        <w:rPr>
          <w:rFonts w:ascii="Times New Roman" w:hAnsi="Times New Roman" w:cs="Times New Roman"/>
        </w:rPr>
        <w:t xml:space="preserve">доля участия такого лица в уставном капитале дочерних и зависимых обществ эмитента: </w:t>
      </w:r>
      <w:r w:rsidRPr="0020025F">
        <w:rPr>
          <w:b/>
          <w:i/>
        </w:rPr>
        <w:t>доли не имеет</w:t>
      </w:r>
    </w:p>
    <w:p w:rsidR="00434272" w:rsidRDefault="00434272" w:rsidP="00434272">
      <w:pPr>
        <w:pStyle w:val="ConsPlusNormal"/>
        <w:ind w:firstLine="540"/>
        <w:jc w:val="both"/>
        <w:rPr>
          <w:rFonts w:ascii="Times New Roman" w:hAnsi="Times New Roman" w:cs="Times New Roman"/>
        </w:rPr>
      </w:pPr>
      <w:r>
        <w:rPr>
          <w:rFonts w:ascii="Times New Roman" w:hAnsi="Times New Roman" w:cs="Times New Roman"/>
        </w:rPr>
        <w:t xml:space="preserve">доля принадлежащих такому лицу обыкновенных акций дочернего или зависимого общества эмитента и количества акций дочернего или зависимого общества эмитента каждой категории (типа), которые могут быть приобретены таким лицом в результате осуществления прав по принадлежащим ему опционам дочернего или зависимого общества эмитента: </w:t>
      </w:r>
      <w:r w:rsidRPr="0020025F">
        <w:rPr>
          <w:b/>
          <w:i/>
        </w:rPr>
        <w:t>доли не имеет</w:t>
      </w:r>
    </w:p>
    <w:p w:rsidR="00434272" w:rsidRPr="0020025F" w:rsidRDefault="00434272" w:rsidP="00434272">
      <w:pPr>
        <w:ind w:firstLine="540"/>
        <w:jc w:val="both"/>
        <w:rPr>
          <w:rFonts w:ascii="Arial" w:eastAsiaTheme="minorHAnsi" w:hAnsi="Arial" w:cs="Arial"/>
          <w:b/>
          <w:i/>
          <w:lang w:eastAsia="en-US"/>
        </w:rPr>
      </w:pPr>
      <w:r>
        <w:t xml:space="preserve">характер любых родственных связей с лицами, входящими в состав органов управления эмитента и (или) органов контроля за финансово-хозяйственной деятельностью эмитента: </w:t>
      </w:r>
      <w:r w:rsidRPr="0020025F">
        <w:rPr>
          <w:rFonts w:ascii="Arial" w:eastAsiaTheme="minorHAnsi" w:hAnsi="Arial" w:cs="Arial"/>
          <w:b/>
          <w:i/>
          <w:lang w:eastAsia="en-US"/>
        </w:rPr>
        <w:t>Указанных родственных связей нет</w:t>
      </w:r>
    </w:p>
    <w:p w:rsidR="00434272" w:rsidRPr="0020025F" w:rsidRDefault="00434272" w:rsidP="00434272">
      <w:pPr>
        <w:ind w:firstLine="540"/>
        <w:jc w:val="both"/>
        <w:rPr>
          <w:rFonts w:ascii="Arial" w:eastAsiaTheme="minorHAnsi" w:hAnsi="Arial" w:cs="Arial"/>
          <w:b/>
          <w:i/>
          <w:lang w:eastAsia="en-US"/>
        </w:rPr>
      </w:pPr>
      <w:r>
        <w:t xml:space="preserve">сведения о привлечении к административной ответственности за правонарушения в области финансов, налогов и сборов, рынка ценных бумаг или уголовной ответственности (наличии судимости) за преступления в сфере экономики и (или) за преступления против государственной власти: </w:t>
      </w:r>
      <w:r w:rsidRPr="0020025F">
        <w:rPr>
          <w:rFonts w:ascii="Arial" w:eastAsiaTheme="minorHAnsi" w:hAnsi="Arial" w:cs="Arial"/>
          <w:b/>
          <w:i/>
          <w:lang w:eastAsia="en-US"/>
        </w:rPr>
        <w:t>Лицо к указанным видам ответственности не привлекалось</w:t>
      </w:r>
    </w:p>
    <w:p w:rsidR="00434272" w:rsidRDefault="00434272" w:rsidP="00434272">
      <w:pPr>
        <w:ind w:firstLine="540"/>
        <w:jc w:val="both"/>
        <w:rPr>
          <w:rFonts w:eastAsiaTheme="minorEastAsia"/>
        </w:rPr>
      </w:pPr>
      <w:r>
        <w:t xml:space="preserve">сведения о занятии должностей в органах управления коммерческих организаций в период, когда в отношении указанных организаций было возбуждено дело о банкротстве и (или) введена одна из процедур банкротства, предусмотренных законодательством Российской Федерации о несостоятельности (банкротстве): </w:t>
      </w:r>
      <w:r w:rsidRPr="0020025F">
        <w:rPr>
          <w:rFonts w:ascii="Arial" w:eastAsiaTheme="minorHAnsi" w:hAnsi="Arial" w:cs="Arial"/>
          <w:b/>
          <w:i/>
          <w:lang w:eastAsia="en-US"/>
        </w:rPr>
        <w:t>Лицо указанных должностей не занимало</w:t>
      </w:r>
    </w:p>
    <w:p w:rsidR="00434272" w:rsidRDefault="00434272" w:rsidP="00434272">
      <w:pPr>
        <w:pStyle w:val="ConsPlusNormal"/>
        <w:jc w:val="both"/>
        <w:rPr>
          <w:b/>
          <w:bCs/>
          <w:i/>
          <w:iCs/>
        </w:rPr>
      </w:pPr>
    </w:p>
    <w:p w:rsidR="00434272" w:rsidRPr="003C07CC" w:rsidRDefault="00434272" w:rsidP="00434272">
      <w:pPr>
        <w:pStyle w:val="ConsPlusNormal"/>
        <w:ind w:firstLine="540"/>
        <w:jc w:val="both"/>
        <w:outlineLvl w:val="1"/>
        <w:rPr>
          <w:b/>
          <w:i/>
          <w:sz w:val="28"/>
          <w:szCs w:val="28"/>
        </w:rPr>
      </w:pPr>
      <w:bookmarkStart w:id="75" w:name="_Toc448251172"/>
      <w:r w:rsidRPr="003C07CC">
        <w:rPr>
          <w:b/>
          <w:i/>
          <w:sz w:val="28"/>
          <w:szCs w:val="28"/>
        </w:rPr>
        <w:t>5.3. Сведения о размере вознаграждения, льгот и (или) компенсации расходов по каждому органу управления эмитента</w:t>
      </w:r>
      <w:bookmarkEnd w:id="75"/>
    </w:p>
    <w:p w:rsidR="00434272" w:rsidRPr="00D4640D" w:rsidRDefault="00434272" w:rsidP="00434272">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434272" w:rsidRDefault="00434272" w:rsidP="00434272">
      <w:pPr>
        <w:pStyle w:val="ConsPlusNormal"/>
        <w:jc w:val="both"/>
        <w:rPr>
          <w:rFonts w:ascii="Times New Roman" w:hAnsi="Times New Roman" w:cs="Times New Roman"/>
        </w:rPr>
      </w:pPr>
    </w:p>
    <w:p w:rsidR="00434272" w:rsidRPr="003C07CC" w:rsidRDefault="00434272" w:rsidP="00434272">
      <w:pPr>
        <w:pStyle w:val="ConsPlusNormal"/>
        <w:ind w:firstLine="540"/>
        <w:jc w:val="both"/>
        <w:outlineLvl w:val="1"/>
        <w:rPr>
          <w:b/>
          <w:i/>
          <w:sz w:val="28"/>
          <w:szCs w:val="28"/>
        </w:rPr>
      </w:pPr>
      <w:bookmarkStart w:id="76" w:name="_Toc448251173"/>
      <w:r w:rsidRPr="003C07CC">
        <w:rPr>
          <w:b/>
          <w:i/>
          <w:sz w:val="28"/>
          <w:szCs w:val="28"/>
        </w:rPr>
        <w:t>5.4. Сведения о структуре и компетенции органов контроля за финансово-хозяйственной деятельностью эмитента, а также об организации системы управления рисками и внутреннего контроля</w:t>
      </w:r>
      <w:bookmarkEnd w:id="76"/>
    </w:p>
    <w:p w:rsidR="00434272" w:rsidRPr="00D4640D" w:rsidRDefault="00434272" w:rsidP="00434272">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434272" w:rsidRPr="00A94364" w:rsidRDefault="00434272" w:rsidP="00434272">
      <w:pPr>
        <w:pStyle w:val="ConsPlusNormal"/>
        <w:jc w:val="both"/>
        <w:rPr>
          <w:b/>
          <w:bCs/>
          <w:i/>
          <w:iCs/>
        </w:rPr>
      </w:pPr>
    </w:p>
    <w:p w:rsidR="00434272" w:rsidRPr="003C07CC" w:rsidRDefault="00434272" w:rsidP="003C07CC">
      <w:pPr>
        <w:pStyle w:val="ConsPlusNormal"/>
        <w:ind w:firstLine="540"/>
        <w:jc w:val="both"/>
        <w:outlineLvl w:val="1"/>
        <w:rPr>
          <w:b/>
          <w:i/>
          <w:sz w:val="28"/>
          <w:szCs w:val="28"/>
        </w:rPr>
      </w:pPr>
      <w:bookmarkStart w:id="77" w:name="_Toc448251174"/>
      <w:r w:rsidRPr="003C07CC">
        <w:rPr>
          <w:b/>
          <w:i/>
          <w:sz w:val="28"/>
          <w:szCs w:val="28"/>
        </w:rPr>
        <w:t>5.5. Информация о лицах, входящих в состав органов контроля за финансово-хозяйственной деятельностью эмитента</w:t>
      </w:r>
      <w:bookmarkEnd w:id="77"/>
    </w:p>
    <w:p w:rsidR="00434272" w:rsidRPr="00A94364" w:rsidRDefault="00434272" w:rsidP="00434272">
      <w:pPr>
        <w:pStyle w:val="ConsPlusNormal"/>
        <w:jc w:val="both"/>
        <w:rPr>
          <w:rFonts w:ascii="Times New Roman" w:hAnsi="Times New Roman" w:cs="Times New Roman"/>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434272" w:rsidRPr="00D4640D" w:rsidRDefault="00434272" w:rsidP="00434272">
      <w:pPr>
        <w:pStyle w:val="ConsPlusNormal"/>
        <w:jc w:val="both"/>
        <w:rPr>
          <w:rFonts w:ascii="Times New Roman" w:hAnsi="Times New Roman" w:cs="Times New Roman"/>
        </w:rPr>
      </w:pPr>
    </w:p>
    <w:p w:rsidR="00434272" w:rsidRPr="003C07CC" w:rsidRDefault="00434272" w:rsidP="00434272">
      <w:pPr>
        <w:pStyle w:val="ConsPlusNormal"/>
        <w:ind w:firstLine="540"/>
        <w:jc w:val="both"/>
        <w:outlineLvl w:val="1"/>
        <w:rPr>
          <w:b/>
          <w:i/>
          <w:sz w:val="28"/>
          <w:szCs w:val="28"/>
        </w:rPr>
      </w:pPr>
      <w:bookmarkStart w:id="78" w:name="_Toc448251175"/>
      <w:r w:rsidRPr="003C07CC">
        <w:rPr>
          <w:b/>
          <w:i/>
          <w:sz w:val="28"/>
          <w:szCs w:val="28"/>
        </w:rPr>
        <w:t>5.6. Сведения о размере вознаграждения и (или) компенсации расходов по органу контроля за финансово-хозяйственной деятельностью эмитента</w:t>
      </w:r>
      <w:bookmarkEnd w:id="78"/>
    </w:p>
    <w:p w:rsidR="00434272" w:rsidRPr="00D4640D" w:rsidRDefault="00434272" w:rsidP="00434272">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434272" w:rsidRDefault="00434272" w:rsidP="00434272">
      <w:pPr>
        <w:pStyle w:val="ConsPlusNormal"/>
        <w:jc w:val="both"/>
        <w:rPr>
          <w:rFonts w:ascii="Times New Roman" w:hAnsi="Times New Roman" w:cs="Times New Roman"/>
        </w:rPr>
      </w:pPr>
    </w:p>
    <w:p w:rsidR="00434272" w:rsidRPr="003C07CC" w:rsidRDefault="00434272" w:rsidP="00434272">
      <w:pPr>
        <w:pStyle w:val="ConsPlusNormal"/>
        <w:ind w:firstLine="540"/>
        <w:jc w:val="both"/>
        <w:outlineLvl w:val="1"/>
        <w:rPr>
          <w:b/>
          <w:i/>
          <w:sz w:val="28"/>
          <w:szCs w:val="28"/>
        </w:rPr>
      </w:pPr>
      <w:bookmarkStart w:id="79" w:name="_Toc448251176"/>
      <w:r w:rsidRPr="003C07CC">
        <w:rPr>
          <w:b/>
          <w:i/>
          <w:sz w:val="28"/>
          <w:szCs w:val="28"/>
        </w:rPr>
        <w:t>5.7. Данные о численности и обобщенные данные о составе сотрудников (работников) эмитента, а также об изменении численности сотрудников (работников) эмитента</w:t>
      </w:r>
      <w:bookmarkEnd w:id="79"/>
    </w:p>
    <w:p w:rsidR="00E06C80" w:rsidRDefault="00E06C80" w:rsidP="00EA5AEC">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434272" w:rsidRDefault="00434272" w:rsidP="00434272">
      <w:pPr>
        <w:pStyle w:val="ConsPlusNormal"/>
        <w:jc w:val="both"/>
        <w:rPr>
          <w:rFonts w:ascii="Times New Roman" w:hAnsi="Times New Roman" w:cs="Times New Roman"/>
        </w:rPr>
      </w:pPr>
    </w:p>
    <w:p w:rsidR="00434272" w:rsidRPr="003C07CC" w:rsidRDefault="00434272" w:rsidP="00434272">
      <w:pPr>
        <w:pStyle w:val="ConsPlusNormal"/>
        <w:ind w:firstLine="540"/>
        <w:jc w:val="both"/>
        <w:outlineLvl w:val="1"/>
        <w:rPr>
          <w:b/>
          <w:i/>
          <w:sz w:val="28"/>
          <w:szCs w:val="28"/>
        </w:rPr>
      </w:pPr>
      <w:bookmarkStart w:id="80" w:name="_Toc448251177"/>
      <w:r w:rsidRPr="003C07CC">
        <w:rPr>
          <w:b/>
          <w:i/>
          <w:sz w:val="28"/>
          <w:szCs w:val="28"/>
        </w:rPr>
        <w:t>5.8. Сведения о любых обязательствах эмитента перед сотрудниками (работниками), касающихся возможности их участия в уставном капитале эмитента</w:t>
      </w:r>
      <w:bookmarkEnd w:id="80"/>
    </w:p>
    <w:p w:rsidR="00434272" w:rsidRPr="00D4640D" w:rsidRDefault="00434272" w:rsidP="00434272">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434272" w:rsidRDefault="00434272" w:rsidP="00434272"/>
    <w:p w:rsidR="007B6CF9" w:rsidRDefault="007B6CF9">
      <w:pPr>
        <w:widowControl/>
        <w:autoSpaceDE/>
        <w:autoSpaceDN/>
        <w:adjustRightInd/>
        <w:spacing w:before="0" w:after="200" w:line="276" w:lineRule="auto"/>
      </w:pPr>
      <w:r>
        <w:br w:type="page"/>
      </w:r>
    </w:p>
    <w:p w:rsidR="007B6CF9" w:rsidRPr="003C07CC" w:rsidRDefault="007B6CF9" w:rsidP="007B6CF9">
      <w:pPr>
        <w:pStyle w:val="ConsPlusNormal"/>
        <w:ind w:firstLine="540"/>
        <w:jc w:val="both"/>
        <w:outlineLvl w:val="0"/>
        <w:rPr>
          <w:b/>
          <w:sz w:val="32"/>
          <w:szCs w:val="32"/>
        </w:rPr>
      </w:pPr>
      <w:bookmarkStart w:id="81" w:name="_Toc448251178"/>
      <w:r w:rsidRPr="003C07CC">
        <w:rPr>
          <w:b/>
          <w:sz w:val="32"/>
          <w:szCs w:val="32"/>
        </w:rPr>
        <w:t>Раздел VI. Сведения об участниках (акционерах) эмитента и о совершенных эмитентом сделках, в совершении которых имелась заинтересованность</w:t>
      </w:r>
      <w:bookmarkEnd w:id="81"/>
    </w:p>
    <w:p w:rsidR="007B6CF9" w:rsidRPr="00771C14" w:rsidRDefault="007B6CF9" w:rsidP="007B6CF9">
      <w:pPr>
        <w:pStyle w:val="ConsPlusNormal"/>
        <w:jc w:val="both"/>
        <w:rPr>
          <w:rFonts w:ascii="Times New Roman" w:hAnsi="Times New Roman" w:cs="Times New Roman"/>
        </w:rPr>
      </w:pPr>
    </w:p>
    <w:p w:rsidR="007B6CF9" w:rsidRPr="003C07CC" w:rsidRDefault="007B6CF9" w:rsidP="007B6CF9">
      <w:pPr>
        <w:pStyle w:val="ConsPlusNormal"/>
        <w:ind w:firstLine="540"/>
        <w:jc w:val="both"/>
        <w:outlineLvl w:val="1"/>
        <w:rPr>
          <w:b/>
          <w:i/>
          <w:sz w:val="28"/>
          <w:szCs w:val="28"/>
        </w:rPr>
      </w:pPr>
      <w:bookmarkStart w:id="82" w:name="_Toc448251179"/>
      <w:r w:rsidRPr="003C07CC">
        <w:rPr>
          <w:b/>
          <w:i/>
          <w:sz w:val="28"/>
          <w:szCs w:val="28"/>
        </w:rPr>
        <w:t>6.1. Сведения об общем количестве акционеров (участников) эмитента</w:t>
      </w:r>
      <w:bookmarkEnd w:id="82"/>
    </w:p>
    <w:p w:rsidR="007B6CF9" w:rsidRPr="00A94364" w:rsidRDefault="007B6CF9" w:rsidP="007B6CF9">
      <w:pPr>
        <w:pStyle w:val="ConsPlusNormal"/>
        <w:ind w:firstLine="540"/>
        <w:jc w:val="both"/>
        <w:rPr>
          <w:rFonts w:ascii="Times New Roman" w:hAnsi="Times New Roman" w:cs="Times New Roman"/>
        </w:rPr>
      </w:pPr>
    </w:p>
    <w:p w:rsidR="007B6CF9" w:rsidRDefault="007B6CF9" w:rsidP="007B6CF9">
      <w:pPr>
        <w:pStyle w:val="ConsPlusNormal"/>
        <w:ind w:firstLine="540"/>
        <w:jc w:val="both"/>
        <w:rPr>
          <w:rFonts w:ascii="Times New Roman" w:hAnsi="Times New Roman" w:cs="Times New Roman"/>
        </w:rPr>
      </w:pPr>
      <w:r>
        <w:rPr>
          <w:rFonts w:ascii="Times New Roman" w:hAnsi="Times New Roman" w:cs="Times New Roman"/>
        </w:rPr>
        <w:t>О</w:t>
      </w:r>
      <w:r w:rsidRPr="00771C14">
        <w:rPr>
          <w:rFonts w:ascii="Times New Roman" w:hAnsi="Times New Roman" w:cs="Times New Roman"/>
        </w:rPr>
        <w:t>бщее количество лиц с ненулевыми остатками на лицевых счетах, зарегистрированных в реестре акционеров эмитента на дату утверждения проспекта ценных бумаг</w:t>
      </w:r>
      <w:r>
        <w:rPr>
          <w:rFonts w:ascii="Times New Roman" w:hAnsi="Times New Roman" w:cs="Times New Roman"/>
        </w:rPr>
        <w:t xml:space="preserve">: </w:t>
      </w:r>
      <w:r w:rsidRPr="0070531C">
        <w:rPr>
          <w:b/>
          <w:i/>
        </w:rPr>
        <w:t>2</w:t>
      </w:r>
    </w:p>
    <w:p w:rsidR="007B6CF9" w:rsidRPr="0070531C" w:rsidRDefault="007B6CF9" w:rsidP="007B6CF9">
      <w:pPr>
        <w:ind w:firstLine="540"/>
        <w:jc w:val="both"/>
        <w:rPr>
          <w:rFonts w:ascii="Arial" w:eastAsiaTheme="minorHAnsi" w:hAnsi="Arial" w:cs="Arial"/>
          <w:b/>
          <w:i/>
          <w:lang w:eastAsia="en-US"/>
        </w:rPr>
      </w:pPr>
      <w:r w:rsidRPr="00771C14">
        <w:t>В случае если в состав лиц, зарегистрированных в реестре акционеров эмитента, входят номинальные держатели акций эмитента, дополнительно указывается общее количество номинальных держателей акций эмитента</w:t>
      </w:r>
      <w:r>
        <w:t xml:space="preserve">: </w:t>
      </w:r>
      <w:r w:rsidRPr="0070531C">
        <w:rPr>
          <w:rFonts w:ascii="Arial" w:eastAsiaTheme="minorHAnsi" w:hAnsi="Arial" w:cs="Arial"/>
          <w:b/>
          <w:i/>
          <w:lang w:eastAsia="en-US"/>
        </w:rPr>
        <w:t>0</w:t>
      </w:r>
    </w:p>
    <w:p w:rsidR="007B6CF9" w:rsidRDefault="007B6CF9" w:rsidP="007B6CF9">
      <w:pPr>
        <w:pStyle w:val="ConsPlusNormal"/>
        <w:ind w:firstLine="540"/>
        <w:jc w:val="both"/>
        <w:rPr>
          <w:rFonts w:ascii="Times New Roman" w:hAnsi="Times New Roman" w:cs="Times New Roman"/>
        </w:rPr>
      </w:pPr>
      <w:r>
        <w:rPr>
          <w:rFonts w:ascii="Times New Roman" w:hAnsi="Times New Roman" w:cs="Times New Roman"/>
        </w:rPr>
        <w:t>О</w:t>
      </w:r>
      <w:r w:rsidRPr="00771C14">
        <w:rPr>
          <w:rFonts w:ascii="Times New Roman" w:hAnsi="Times New Roman" w:cs="Times New Roman"/>
        </w:rPr>
        <w:t>бщее количество лиц, включенных в составленный последним список лиц, имевших (имеющих) право на участие в общем собрании акционеров эмитента (иной список лиц, составленный в целях осуществления (реализации) прав по акциям эмитента и для составления которого номинальные держатели акций эмитента представляли данные о лицах, в интересах которых они владели (владеют) акциями эмитента)</w:t>
      </w:r>
      <w:r>
        <w:rPr>
          <w:rFonts w:ascii="Times New Roman" w:hAnsi="Times New Roman" w:cs="Times New Roman"/>
        </w:rPr>
        <w:t>:</w:t>
      </w:r>
      <w:r w:rsidRPr="0070531C">
        <w:rPr>
          <w:b/>
          <w:i/>
        </w:rPr>
        <w:t xml:space="preserve"> 2</w:t>
      </w:r>
    </w:p>
    <w:p w:rsidR="007B6CF9" w:rsidRPr="0070531C" w:rsidRDefault="007B6CF9" w:rsidP="007B6CF9">
      <w:pPr>
        <w:pStyle w:val="ConsPlusNormal"/>
        <w:ind w:firstLine="540"/>
        <w:jc w:val="both"/>
        <w:rPr>
          <w:b/>
          <w:i/>
        </w:rPr>
      </w:pPr>
      <w:r>
        <w:rPr>
          <w:rFonts w:ascii="Times New Roman" w:hAnsi="Times New Roman" w:cs="Times New Roman"/>
        </w:rPr>
        <w:t>К</w:t>
      </w:r>
      <w:r w:rsidRPr="00771C14">
        <w:rPr>
          <w:rFonts w:ascii="Times New Roman" w:hAnsi="Times New Roman" w:cs="Times New Roman"/>
        </w:rPr>
        <w:t>атегори</w:t>
      </w:r>
      <w:r>
        <w:rPr>
          <w:rFonts w:ascii="Times New Roman" w:hAnsi="Times New Roman" w:cs="Times New Roman"/>
        </w:rPr>
        <w:t>я</w:t>
      </w:r>
      <w:r w:rsidRPr="00771C14">
        <w:rPr>
          <w:rFonts w:ascii="Times New Roman" w:hAnsi="Times New Roman" w:cs="Times New Roman"/>
        </w:rPr>
        <w:t xml:space="preserve"> (тип) акций эмитента, владельцы которых подлежали включению в такой список</w:t>
      </w:r>
      <w:r>
        <w:rPr>
          <w:rFonts w:ascii="Times New Roman" w:hAnsi="Times New Roman" w:cs="Times New Roman"/>
        </w:rPr>
        <w:t xml:space="preserve">: </w:t>
      </w:r>
      <w:r w:rsidR="00060DD7" w:rsidRPr="0070531C">
        <w:rPr>
          <w:b/>
          <w:i/>
        </w:rPr>
        <w:t>обыкновенны</w:t>
      </w:r>
      <w:r w:rsidR="00060DD7">
        <w:rPr>
          <w:b/>
          <w:i/>
        </w:rPr>
        <w:t>е</w:t>
      </w:r>
      <w:r w:rsidR="00060DD7" w:rsidRPr="0070531C">
        <w:rPr>
          <w:b/>
          <w:i/>
        </w:rPr>
        <w:t xml:space="preserve"> акци</w:t>
      </w:r>
      <w:r w:rsidR="00060DD7">
        <w:rPr>
          <w:b/>
          <w:i/>
        </w:rPr>
        <w:t>и</w:t>
      </w:r>
      <w:r w:rsidR="00964809">
        <w:rPr>
          <w:b/>
          <w:i/>
        </w:rPr>
        <w:t xml:space="preserve"> </w:t>
      </w:r>
      <w:r w:rsidRPr="0070531C">
        <w:rPr>
          <w:b/>
          <w:i/>
        </w:rPr>
        <w:t>Эмитента</w:t>
      </w:r>
    </w:p>
    <w:p w:rsidR="007B6CF9" w:rsidRPr="000B47F6" w:rsidRDefault="007B6CF9" w:rsidP="007B6CF9">
      <w:pPr>
        <w:pStyle w:val="ConsPlusNormal"/>
        <w:ind w:firstLine="540"/>
        <w:jc w:val="both"/>
        <w:rPr>
          <w:rFonts w:ascii="Times New Roman" w:hAnsi="Times New Roman" w:cs="Times New Roman"/>
        </w:rPr>
      </w:pPr>
      <w:r>
        <w:rPr>
          <w:rFonts w:ascii="Times New Roman" w:hAnsi="Times New Roman" w:cs="Times New Roman"/>
        </w:rPr>
        <w:t xml:space="preserve">Дата составления такого списка: </w:t>
      </w:r>
      <w:r w:rsidR="000B47F6" w:rsidRPr="00B1520B">
        <w:rPr>
          <w:b/>
          <w:i/>
        </w:rPr>
        <w:t>25 марта 2016 года</w:t>
      </w:r>
    </w:p>
    <w:p w:rsidR="007B6CF9" w:rsidRPr="0070531C" w:rsidRDefault="007B6CF9" w:rsidP="007B6CF9">
      <w:pPr>
        <w:ind w:firstLine="540"/>
        <w:jc w:val="both"/>
        <w:rPr>
          <w:rFonts w:ascii="Arial" w:eastAsiaTheme="minorHAnsi" w:hAnsi="Arial" w:cs="Arial"/>
          <w:b/>
          <w:i/>
          <w:lang w:eastAsia="en-US"/>
        </w:rPr>
      </w:pPr>
      <w:r>
        <w:t>Информация</w:t>
      </w:r>
      <w:r w:rsidRPr="00771C14">
        <w:t xml:space="preserve"> о количестве собственных акций, находящихся на балансе эмитента на дату окончания отчетного квартала, отдельно п</w:t>
      </w:r>
      <w:r>
        <w:t xml:space="preserve">о каждой категории (типу) акций: </w:t>
      </w:r>
      <w:r w:rsidRPr="0070531C">
        <w:rPr>
          <w:rFonts w:ascii="Arial" w:eastAsiaTheme="minorHAnsi" w:hAnsi="Arial" w:cs="Arial"/>
          <w:b/>
          <w:i/>
          <w:lang w:eastAsia="en-US"/>
        </w:rPr>
        <w:t xml:space="preserve">Собственных акций, находящихся на балансе </w:t>
      </w:r>
      <w:r w:rsidR="00060DD7">
        <w:rPr>
          <w:rFonts w:ascii="Arial" w:eastAsiaTheme="minorHAnsi" w:hAnsi="Arial" w:cs="Arial"/>
          <w:b/>
          <w:i/>
          <w:lang w:eastAsia="en-US"/>
        </w:rPr>
        <w:t>Э</w:t>
      </w:r>
      <w:r w:rsidR="00060DD7" w:rsidRPr="0070531C">
        <w:rPr>
          <w:rFonts w:ascii="Arial" w:eastAsiaTheme="minorHAnsi" w:hAnsi="Arial" w:cs="Arial"/>
          <w:b/>
          <w:i/>
          <w:lang w:eastAsia="en-US"/>
        </w:rPr>
        <w:t>митента</w:t>
      </w:r>
      <w:r w:rsidR="00060DD7">
        <w:rPr>
          <w:rFonts w:ascii="Arial" w:eastAsiaTheme="minorHAnsi" w:hAnsi="Arial" w:cs="Arial"/>
          <w:b/>
          <w:i/>
          <w:lang w:eastAsia="en-US"/>
        </w:rPr>
        <w:t>,</w:t>
      </w:r>
      <w:r w:rsidR="00060DD7" w:rsidRPr="0070531C">
        <w:rPr>
          <w:rFonts w:ascii="Arial" w:eastAsiaTheme="minorHAnsi" w:hAnsi="Arial" w:cs="Arial"/>
          <w:b/>
          <w:i/>
          <w:lang w:eastAsia="en-US"/>
        </w:rPr>
        <w:t xml:space="preserve"> </w:t>
      </w:r>
      <w:r w:rsidRPr="0070531C">
        <w:rPr>
          <w:rFonts w:ascii="Arial" w:eastAsiaTheme="minorHAnsi" w:hAnsi="Arial" w:cs="Arial"/>
          <w:b/>
          <w:i/>
          <w:lang w:eastAsia="en-US"/>
        </w:rPr>
        <w:t>нет</w:t>
      </w:r>
    </w:p>
    <w:p w:rsidR="007B6CF9" w:rsidRPr="00F56C7E" w:rsidRDefault="007B6CF9" w:rsidP="007B6CF9">
      <w:pPr>
        <w:ind w:firstLine="540"/>
        <w:jc w:val="both"/>
        <w:rPr>
          <w:rFonts w:ascii="Arial" w:eastAsiaTheme="minorHAnsi" w:hAnsi="Arial" w:cs="Arial"/>
          <w:b/>
          <w:i/>
          <w:lang w:eastAsia="en-US"/>
        </w:rPr>
      </w:pPr>
      <w:r>
        <w:t>И</w:t>
      </w:r>
      <w:r w:rsidRPr="00771C14">
        <w:t xml:space="preserve">звестная информация о количестве акций эмитента, принадлежащих подконтрольным </w:t>
      </w:r>
      <w:r>
        <w:t>ему</w:t>
      </w:r>
      <w:r w:rsidRPr="00771C14">
        <w:t xml:space="preserve"> организациям, отдельно п</w:t>
      </w:r>
      <w:r>
        <w:t xml:space="preserve">о каждой категории (типу) акций: </w:t>
      </w:r>
      <w:r w:rsidRPr="00F56C7E">
        <w:rPr>
          <w:rFonts w:ascii="Arial" w:eastAsiaTheme="minorHAnsi" w:hAnsi="Arial" w:cs="Arial"/>
          <w:b/>
          <w:i/>
          <w:lang w:eastAsia="en-US"/>
        </w:rPr>
        <w:t xml:space="preserve">Акций </w:t>
      </w:r>
      <w:r>
        <w:rPr>
          <w:rFonts w:ascii="Arial" w:eastAsiaTheme="minorHAnsi" w:hAnsi="Arial" w:cs="Arial"/>
          <w:b/>
          <w:i/>
          <w:lang w:eastAsia="en-US"/>
        </w:rPr>
        <w:t>Э</w:t>
      </w:r>
      <w:r w:rsidRPr="00F56C7E">
        <w:rPr>
          <w:rFonts w:ascii="Arial" w:eastAsiaTheme="minorHAnsi" w:hAnsi="Arial" w:cs="Arial"/>
          <w:b/>
          <w:i/>
          <w:lang w:eastAsia="en-US"/>
        </w:rPr>
        <w:t>митента, принадлежащих подконтрольным ему организациям нет</w:t>
      </w:r>
      <w:r>
        <w:rPr>
          <w:rFonts w:ascii="Arial" w:eastAsiaTheme="minorHAnsi" w:hAnsi="Arial" w:cs="Arial"/>
          <w:b/>
          <w:i/>
          <w:lang w:eastAsia="en-US"/>
        </w:rPr>
        <w:t>.</w:t>
      </w:r>
    </w:p>
    <w:p w:rsidR="007B6CF9" w:rsidRPr="00771C14" w:rsidRDefault="007B6CF9" w:rsidP="007B6CF9">
      <w:pPr>
        <w:pStyle w:val="ConsPlusNormal"/>
        <w:ind w:firstLine="540"/>
        <w:jc w:val="both"/>
        <w:rPr>
          <w:rFonts w:ascii="Times New Roman" w:hAnsi="Times New Roman" w:cs="Times New Roman"/>
        </w:rPr>
      </w:pPr>
    </w:p>
    <w:p w:rsidR="007B6CF9" w:rsidRPr="003C07CC" w:rsidRDefault="007B6CF9" w:rsidP="007B6CF9">
      <w:pPr>
        <w:pStyle w:val="ConsPlusNormal"/>
        <w:ind w:firstLine="540"/>
        <w:jc w:val="both"/>
        <w:outlineLvl w:val="1"/>
        <w:rPr>
          <w:b/>
          <w:i/>
          <w:sz w:val="28"/>
          <w:szCs w:val="28"/>
        </w:rPr>
      </w:pPr>
      <w:bookmarkStart w:id="83" w:name="_Toc448251180"/>
      <w:r w:rsidRPr="003C07CC">
        <w:rPr>
          <w:b/>
          <w:i/>
          <w:sz w:val="28"/>
          <w:szCs w:val="28"/>
        </w:rPr>
        <w:t>6.2. Сведения об участниках (акционерах) эмитента, владеющих не менее чем пятью процентами его уставного капитала или не менее чем пятью процентами его обыкновенных акций, а также сведения о контролирующих их лицах, а в случае отсутствия таких лиц - об участниках (акционерах), владеющих не менее чем 20 процентами уставного капитала или не менее чем 20 процентами их обыкновенных акций таких участников (акционеров) эмитента</w:t>
      </w:r>
      <w:bookmarkEnd w:id="83"/>
    </w:p>
    <w:p w:rsidR="007B6CF9" w:rsidRPr="00F56C7E" w:rsidRDefault="007B6CF9" w:rsidP="007B6CF9">
      <w:pPr>
        <w:pStyle w:val="ConsPlusNormal"/>
        <w:ind w:firstLine="540"/>
        <w:jc w:val="both"/>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7B6CF9" w:rsidRPr="00771C14" w:rsidRDefault="007B6CF9" w:rsidP="007B6CF9">
      <w:pPr>
        <w:pStyle w:val="ConsPlusNormal"/>
        <w:jc w:val="both"/>
        <w:rPr>
          <w:rFonts w:ascii="Times New Roman" w:hAnsi="Times New Roman" w:cs="Times New Roman"/>
        </w:rPr>
      </w:pPr>
    </w:p>
    <w:p w:rsidR="007B6CF9" w:rsidRPr="003C07CC" w:rsidRDefault="007B6CF9" w:rsidP="007B6CF9">
      <w:pPr>
        <w:pStyle w:val="ConsPlusNormal"/>
        <w:ind w:firstLine="540"/>
        <w:jc w:val="both"/>
        <w:outlineLvl w:val="1"/>
        <w:rPr>
          <w:b/>
          <w:i/>
          <w:sz w:val="28"/>
          <w:szCs w:val="28"/>
        </w:rPr>
      </w:pPr>
      <w:bookmarkStart w:id="84" w:name="_Toc448251181"/>
      <w:r w:rsidRPr="003C07CC">
        <w:rPr>
          <w:b/>
          <w:i/>
          <w:sz w:val="28"/>
          <w:szCs w:val="28"/>
        </w:rPr>
        <w:t>6.3. Сведения о доле участия государства или муниципального образования в уставном капитале эмитента, наличии специального права ("золотой акции")</w:t>
      </w:r>
      <w:bookmarkEnd w:id="84"/>
    </w:p>
    <w:p w:rsidR="007B6CF9" w:rsidRPr="001D6C6C" w:rsidRDefault="007B6CF9" w:rsidP="007B6CF9">
      <w:pPr>
        <w:pStyle w:val="ConsPlusNormal"/>
        <w:ind w:firstLine="540"/>
        <w:jc w:val="both"/>
        <w:rPr>
          <w:b/>
          <w:i/>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7B6CF9" w:rsidRPr="00771C14" w:rsidRDefault="007B6CF9" w:rsidP="007B6CF9">
      <w:pPr>
        <w:pStyle w:val="ConsPlusNormal"/>
        <w:jc w:val="both"/>
        <w:rPr>
          <w:rFonts w:ascii="Times New Roman" w:hAnsi="Times New Roman" w:cs="Times New Roman"/>
        </w:rPr>
      </w:pPr>
    </w:p>
    <w:p w:rsidR="007B6CF9" w:rsidRPr="003C07CC" w:rsidRDefault="007B6CF9" w:rsidP="007B6CF9">
      <w:pPr>
        <w:pStyle w:val="ConsPlusNormal"/>
        <w:ind w:firstLine="540"/>
        <w:jc w:val="both"/>
        <w:outlineLvl w:val="1"/>
        <w:rPr>
          <w:b/>
          <w:i/>
          <w:sz w:val="28"/>
          <w:szCs w:val="28"/>
        </w:rPr>
      </w:pPr>
      <w:bookmarkStart w:id="85" w:name="_Toc448251182"/>
      <w:r w:rsidRPr="003C07CC">
        <w:rPr>
          <w:b/>
          <w:i/>
          <w:sz w:val="28"/>
          <w:szCs w:val="28"/>
        </w:rPr>
        <w:t>6.4. Сведения об ограничениях на участие в уставном капитале эмитента</w:t>
      </w:r>
      <w:bookmarkEnd w:id="85"/>
    </w:p>
    <w:p w:rsidR="007B6CF9" w:rsidRPr="007B6CF9" w:rsidRDefault="007B6CF9" w:rsidP="007B6CF9">
      <w:pPr>
        <w:pStyle w:val="ConsPlusNormal"/>
        <w:ind w:firstLine="540"/>
        <w:jc w:val="both"/>
        <w:rPr>
          <w:b/>
          <w:i/>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7B6CF9" w:rsidRPr="00771C14" w:rsidRDefault="007B6CF9" w:rsidP="007B6CF9">
      <w:pPr>
        <w:pStyle w:val="ConsPlusNormal"/>
        <w:jc w:val="both"/>
        <w:rPr>
          <w:rFonts w:ascii="Times New Roman" w:hAnsi="Times New Roman" w:cs="Times New Roman"/>
        </w:rPr>
      </w:pPr>
    </w:p>
    <w:p w:rsidR="007B6CF9" w:rsidRPr="003C07CC" w:rsidRDefault="007B6CF9" w:rsidP="007B6CF9">
      <w:pPr>
        <w:pStyle w:val="ConsPlusNormal"/>
        <w:ind w:firstLine="540"/>
        <w:jc w:val="both"/>
        <w:outlineLvl w:val="1"/>
        <w:rPr>
          <w:b/>
          <w:i/>
          <w:sz w:val="28"/>
          <w:szCs w:val="28"/>
        </w:rPr>
      </w:pPr>
      <w:bookmarkStart w:id="86" w:name="_Toc448251183"/>
      <w:r w:rsidRPr="003C07CC">
        <w:rPr>
          <w:b/>
          <w:i/>
          <w:sz w:val="28"/>
          <w:szCs w:val="28"/>
        </w:rPr>
        <w:t>6.5. Сведения об изменениях в составе и размере участия участников (акционеров) эмитента, владеющих не менее чем пятью процентами его уставного капитала или не менее чем пятью процентами его обыкновенных акций</w:t>
      </w:r>
      <w:bookmarkEnd w:id="86"/>
    </w:p>
    <w:p w:rsidR="007B6CF9" w:rsidRPr="007B6CF9" w:rsidRDefault="007B6CF9" w:rsidP="007B6CF9">
      <w:pPr>
        <w:pStyle w:val="ConsPlusNormal"/>
        <w:ind w:firstLine="540"/>
        <w:jc w:val="both"/>
        <w:rPr>
          <w:b/>
          <w:i/>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7B6CF9" w:rsidRPr="00771C14" w:rsidRDefault="007B6CF9" w:rsidP="007B6CF9">
      <w:pPr>
        <w:pStyle w:val="ConsPlusNormal"/>
        <w:jc w:val="both"/>
        <w:rPr>
          <w:rFonts w:ascii="Times New Roman" w:hAnsi="Times New Roman" w:cs="Times New Roman"/>
        </w:rPr>
      </w:pPr>
    </w:p>
    <w:p w:rsidR="007B6CF9" w:rsidRPr="003C07CC" w:rsidRDefault="007B6CF9" w:rsidP="007B6CF9">
      <w:pPr>
        <w:pStyle w:val="ConsPlusNormal"/>
        <w:ind w:firstLine="540"/>
        <w:jc w:val="both"/>
        <w:outlineLvl w:val="1"/>
        <w:rPr>
          <w:b/>
          <w:i/>
          <w:sz w:val="28"/>
          <w:szCs w:val="28"/>
        </w:rPr>
      </w:pPr>
      <w:bookmarkStart w:id="87" w:name="_Toc448251184"/>
      <w:r w:rsidRPr="003C07CC">
        <w:rPr>
          <w:b/>
          <w:i/>
          <w:sz w:val="28"/>
          <w:szCs w:val="28"/>
        </w:rPr>
        <w:t>6.6. Сведения о совершенных эмитентом сделках, в совершении которых имелась заинтересованность</w:t>
      </w:r>
      <w:bookmarkEnd w:id="87"/>
    </w:p>
    <w:p w:rsidR="007B6CF9" w:rsidRPr="007B6CF9" w:rsidRDefault="007B6CF9" w:rsidP="007B6CF9">
      <w:pPr>
        <w:pStyle w:val="ConsPlusNormal"/>
        <w:jc w:val="both"/>
        <w:rPr>
          <w:rFonts w:ascii="Times New Roman" w:hAnsi="Times New Roman" w:cs="Times New Roman"/>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7B6CF9" w:rsidRPr="00B83926" w:rsidRDefault="007B6CF9" w:rsidP="007B6CF9">
      <w:pPr>
        <w:pStyle w:val="ConsPlusNormal"/>
        <w:jc w:val="both"/>
        <w:rPr>
          <w:rFonts w:ascii="Times New Roman" w:hAnsi="Times New Roman" w:cs="Times New Roman"/>
        </w:rPr>
      </w:pPr>
    </w:p>
    <w:p w:rsidR="007B6CF9" w:rsidRPr="003C07CC" w:rsidRDefault="007B6CF9" w:rsidP="007B6CF9">
      <w:pPr>
        <w:pStyle w:val="ConsPlusNormal"/>
        <w:ind w:firstLine="540"/>
        <w:jc w:val="both"/>
        <w:outlineLvl w:val="1"/>
        <w:rPr>
          <w:b/>
          <w:i/>
          <w:sz w:val="28"/>
          <w:szCs w:val="28"/>
        </w:rPr>
      </w:pPr>
      <w:bookmarkStart w:id="88" w:name="_Toc448251185"/>
      <w:r w:rsidRPr="003C07CC">
        <w:rPr>
          <w:b/>
          <w:i/>
          <w:sz w:val="28"/>
          <w:szCs w:val="28"/>
        </w:rPr>
        <w:t>6.7. Сведения о размере дебиторской задолженности</w:t>
      </w:r>
      <w:bookmarkEnd w:id="88"/>
    </w:p>
    <w:p w:rsidR="007B6CF9" w:rsidRPr="007B6CF9" w:rsidRDefault="007B6CF9" w:rsidP="003C07CC">
      <w:pPr>
        <w:pStyle w:val="ConsPlusNormal"/>
        <w:ind w:firstLine="540"/>
        <w:jc w:val="both"/>
        <w:rPr>
          <w:rFonts w:ascii="Times New Roman" w:hAnsi="Times New Roman" w:cs="Times New Roman"/>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7B6CF9" w:rsidRDefault="007B6CF9">
      <w:pPr>
        <w:widowControl/>
        <w:autoSpaceDE/>
        <w:autoSpaceDN/>
        <w:adjustRightInd/>
        <w:spacing w:before="0" w:after="200" w:line="276" w:lineRule="auto"/>
      </w:pPr>
      <w:r>
        <w:br w:type="page"/>
      </w:r>
    </w:p>
    <w:p w:rsidR="007B6CF9" w:rsidRPr="003C07CC" w:rsidRDefault="007B6CF9" w:rsidP="007B6CF9">
      <w:pPr>
        <w:pStyle w:val="ConsPlusNormal"/>
        <w:ind w:firstLine="540"/>
        <w:jc w:val="both"/>
        <w:outlineLvl w:val="0"/>
        <w:rPr>
          <w:b/>
          <w:sz w:val="32"/>
          <w:szCs w:val="32"/>
        </w:rPr>
      </w:pPr>
      <w:bookmarkStart w:id="89" w:name="_Toc448251186"/>
      <w:r w:rsidRPr="003C07CC">
        <w:rPr>
          <w:b/>
          <w:sz w:val="32"/>
          <w:szCs w:val="32"/>
        </w:rPr>
        <w:t>Раздел VII. Бухгалтерская (финансовая) отчетность эмитента и иная финансовая информация</w:t>
      </w:r>
      <w:bookmarkEnd w:id="89"/>
    </w:p>
    <w:p w:rsidR="007B6CF9" w:rsidRDefault="007B6CF9" w:rsidP="007B6CF9">
      <w:pPr>
        <w:pStyle w:val="ConsPlusNormal"/>
        <w:jc w:val="both"/>
        <w:rPr>
          <w:rFonts w:ascii="Times New Roman" w:hAnsi="Times New Roman" w:cs="Times New Roman"/>
        </w:rPr>
      </w:pPr>
    </w:p>
    <w:p w:rsidR="007B6CF9" w:rsidRPr="003C07CC" w:rsidRDefault="007B6CF9" w:rsidP="007B6CF9">
      <w:pPr>
        <w:pStyle w:val="ConsPlusNormal"/>
        <w:ind w:firstLine="540"/>
        <w:jc w:val="both"/>
        <w:outlineLvl w:val="1"/>
        <w:rPr>
          <w:b/>
          <w:i/>
          <w:sz w:val="28"/>
          <w:szCs w:val="28"/>
        </w:rPr>
      </w:pPr>
      <w:bookmarkStart w:id="90" w:name="_Toc448251187"/>
      <w:r w:rsidRPr="003C07CC">
        <w:rPr>
          <w:b/>
          <w:i/>
          <w:sz w:val="28"/>
          <w:szCs w:val="28"/>
        </w:rPr>
        <w:t>7.1. Годовая бухгалтерская (финансовая) отчетность эмитента</w:t>
      </w:r>
      <w:bookmarkEnd w:id="90"/>
    </w:p>
    <w:p w:rsidR="00A06BCF" w:rsidRDefault="00A06BCF" w:rsidP="007B6CF9">
      <w:pPr>
        <w:pStyle w:val="ConsPlusNormal"/>
        <w:ind w:firstLine="540"/>
        <w:jc w:val="both"/>
        <w:rPr>
          <w:rFonts w:ascii="Times New Roman" w:hAnsi="Times New Roman" w:cs="Times New Roman"/>
        </w:rPr>
      </w:pPr>
    </w:p>
    <w:p w:rsidR="007B6CF9" w:rsidRDefault="007B6CF9" w:rsidP="007B6CF9">
      <w:pPr>
        <w:pStyle w:val="ConsPlusNormal"/>
        <w:ind w:firstLine="540"/>
        <w:jc w:val="both"/>
        <w:rPr>
          <w:rFonts w:ascii="Times New Roman" w:hAnsi="Times New Roman" w:cs="Times New Roman"/>
        </w:rPr>
      </w:pPr>
      <w:r>
        <w:rPr>
          <w:rFonts w:ascii="Times New Roman" w:hAnsi="Times New Roman" w:cs="Times New Roman"/>
        </w:rPr>
        <w:t>Указывается состав годовой бухгалтерской (финансовой) отчетности эмитента, прилагаемой к проспекту ценных бумаг:</w:t>
      </w:r>
    </w:p>
    <w:p w:rsidR="007B6CF9" w:rsidRDefault="007B6CF9" w:rsidP="007B6CF9">
      <w:pPr>
        <w:pStyle w:val="ConsPlusNormal"/>
        <w:ind w:firstLine="540"/>
        <w:jc w:val="both"/>
        <w:rPr>
          <w:rFonts w:ascii="Times New Roman" w:hAnsi="Times New Roman" w:cs="Times New Roman"/>
        </w:rPr>
      </w:pPr>
      <w:bookmarkStart w:id="91" w:name="Par981"/>
      <w:bookmarkEnd w:id="91"/>
      <w:r>
        <w:rPr>
          <w:rFonts w:ascii="Times New Roman" w:hAnsi="Times New Roman" w:cs="Times New Roman"/>
        </w:rPr>
        <w:t>а) годовая бухгалтерская (финансовая) отчетность эмитента за три последних завершенных отчетных года, предшествующих дате утверждения проспекта ценных бумаг, или за каждый завершенный отчетный год, если эмитент осуществляет свою деятельность менее трех лет, составленная в соответствии с требованиями законодательства Российской Федерации, с приложенным аудиторским заключением в отношении указанной бухгалтерской (финансовой) отчетности:</w:t>
      </w:r>
    </w:p>
    <w:p w:rsidR="00A06BCF" w:rsidRDefault="00A06BCF" w:rsidP="00B3732B">
      <w:pPr>
        <w:jc w:val="both"/>
        <w:rPr>
          <w:rFonts w:ascii="Arial" w:hAnsi="Arial" w:cs="Arial"/>
          <w:b/>
          <w:i/>
        </w:rPr>
      </w:pPr>
    </w:p>
    <w:p w:rsidR="007B6CF9" w:rsidRPr="00FA47E0" w:rsidRDefault="007B6CF9" w:rsidP="00B3732B">
      <w:pPr>
        <w:jc w:val="both"/>
        <w:rPr>
          <w:rFonts w:ascii="Arial" w:hAnsi="Arial" w:cs="Arial"/>
          <w:b/>
          <w:i/>
        </w:rPr>
      </w:pPr>
      <w:r w:rsidRPr="00FA47E0">
        <w:rPr>
          <w:rFonts w:ascii="Arial" w:hAnsi="Arial" w:cs="Arial"/>
          <w:b/>
          <w:i/>
        </w:rPr>
        <w:t>Годовая бухгалтерская (финансовая) отчетность Эмитента за 201</w:t>
      </w:r>
      <w:r>
        <w:rPr>
          <w:rFonts w:ascii="Arial" w:hAnsi="Arial" w:cs="Arial"/>
          <w:b/>
          <w:i/>
        </w:rPr>
        <w:t>3</w:t>
      </w:r>
      <w:r w:rsidRPr="00FA47E0">
        <w:rPr>
          <w:rFonts w:ascii="Arial" w:hAnsi="Arial" w:cs="Arial"/>
          <w:b/>
          <w:i/>
        </w:rPr>
        <w:t xml:space="preserve"> – 201</w:t>
      </w:r>
      <w:r>
        <w:rPr>
          <w:rFonts w:ascii="Arial" w:hAnsi="Arial" w:cs="Arial"/>
          <w:b/>
          <w:i/>
        </w:rPr>
        <w:t>5</w:t>
      </w:r>
      <w:r w:rsidRPr="00FA47E0">
        <w:rPr>
          <w:rFonts w:ascii="Arial" w:hAnsi="Arial" w:cs="Arial"/>
          <w:b/>
          <w:i/>
        </w:rPr>
        <w:t xml:space="preserve"> годы, составленная в соответствии с требованиями законодательства Российской Федерации, с приложенными аудиторскими заключениями приводится в Приложении № 1 к настоящему Проспекту ценных бумаг: </w:t>
      </w:r>
    </w:p>
    <w:p w:rsidR="007B6CF9" w:rsidRPr="00FA47E0" w:rsidRDefault="007B6CF9" w:rsidP="007B6CF9">
      <w:pPr>
        <w:rPr>
          <w:rFonts w:ascii="Arial" w:hAnsi="Arial" w:cs="Arial"/>
          <w:b/>
          <w:i/>
        </w:rPr>
      </w:pPr>
    </w:p>
    <w:p w:rsidR="007B6CF9" w:rsidRPr="00FA47E0" w:rsidRDefault="007B6CF9" w:rsidP="007B6CF9">
      <w:pPr>
        <w:rPr>
          <w:rFonts w:ascii="Arial" w:hAnsi="Arial" w:cs="Arial"/>
          <w:b/>
          <w:i/>
          <w:color w:val="000000"/>
          <w:u w:val="single"/>
        </w:rPr>
      </w:pPr>
      <w:r w:rsidRPr="00FA47E0">
        <w:rPr>
          <w:rFonts w:ascii="Arial" w:hAnsi="Arial" w:cs="Arial"/>
          <w:b/>
          <w:i/>
          <w:u w:val="single"/>
        </w:rPr>
        <w:t>Годовая бухгалтерская (финансовая) отчетность Эмитента за 201</w:t>
      </w:r>
      <w:r>
        <w:rPr>
          <w:rFonts w:ascii="Arial" w:hAnsi="Arial" w:cs="Arial"/>
          <w:b/>
          <w:i/>
          <w:u w:val="single"/>
        </w:rPr>
        <w:t>3</w:t>
      </w:r>
      <w:r w:rsidRPr="00FA47E0">
        <w:rPr>
          <w:rFonts w:ascii="Arial" w:hAnsi="Arial" w:cs="Arial"/>
          <w:b/>
          <w:i/>
          <w:u w:val="single"/>
        </w:rPr>
        <w:t xml:space="preserve"> год </w:t>
      </w:r>
      <w:r w:rsidRPr="00FA47E0">
        <w:rPr>
          <w:rFonts w:ascii="Arial" w:hAnsi="Arial" w:cs="Arial"/>
          <w:b/>
          <w:i/>
          <w:color w:val="000000"/>
          <w:u w:val="single"/>
        </w:rPr>
        <w:t>состоит из:</w:t>
      </w:r>
    </w:p>
    <w:p w:rsidR="007B6CF9" w:rsidRPr="00FA47E0"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sidRPr="00FA47E0">
        <w:rPr>
          <w:rFonts w:ascii="Arial" w:hAnsi="Arial" w:cs="Arial"/>
          <w:b/>
          <w:i/>
          <w:color w:val="000000"/>
        </w:rPr>
        <w:t>аудиторского заключения;</w:t>
      </w:r>
    </w:p>
    <w:p w:rsidR="007B6CF9" w:rsidRPr="00FA47E0"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sidRPr="00FA47E0">
        <w:rPr>
          <w:rFonts w:ascii="Arial" w:hAnsi="Arial" w:cs="Arial"/>
          <w:b/>
          <w:i/>
          <w:color w:val="000000"/>
        </w:rPr>
        <w:t>бухгалтерского баланса на 31 декабря 201</w:t>
      </w:r>
      <w:r>
        <w:rPr>
          <w:rFonts w:ascii="Arial" w:hAnsi="Arial" w:cs="Arial"/>
          <w:b/>
          <w:i/>
          <w:color w:val="000000"/>
        </w:rPr>
        <w:t>3</w:t>
      </w:r>
      <w:r w:rsidRPr="00FA47E0">
        <w:rPr>
          <w:rFonts w:ascii="Arial" w:hAnsi="Arial" w:cs="Arial"/>
          <w:b/>
          <w:i/>
          <w:color w:val="000000"/>
        </w:rPr>
        <w:t xml:space="preserve"> года;</w:t>
      </w:r>
    </w:p>
    <w:p w:rsidR="007B6CF9" w:rsidRPr="00FA47E0"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sidRPr="00FA47E0">
        <w:rPr>
          <w:rFonts w:ascii="Arial" w:hAnsi="Arial" w:cs="Arial"/>
          <w:b/>
          <w:i/>
          <w:color w:val="000000"/>
        </w:rPr>
        <w:t xml:space="preserve">отчета о финансовых результатах за </w:t>
      </w:r>
      <w:r>
        <w:rPr>
          <w:rFonts w:ascii="Arial" w:hAnsi="Arial" w:cs="Arial"/>
          <w:b/>
          <w:i/>
          <w:color w:val="000000"/>
        </w:rPr>
        <w:t xml:space="preserve">январь – декабрь </w:t>
      </w:r>
      <w:r w:rsidRPr="00FA47E0">
        <w:rPr>
          <w:rFonts w:ascii="Arial" w:hAnsi="Arial" w:cs="Arial"/>
          <w:b/>
          <w:i/>
          <w:color w:val="000000"/>
        </w:rPr>
        <w:t>201</w:t>
      </w:r>
      <w:r>
        <w:rPr>
          <w:rFonts w:ascii="Arial" w:hAnsi="Arial" w:cs="Arial"/>
          <w:b/>
          <w:i/>
          <w:color w:val="000000"/>
        </w:rPr>
        <w:t>3</w:t>
      </w:r>
      <w:r w:rsidRPr="00FA47E0">
        <w:rPr>
          <w:rFonts w:ascii="Arial" w:hAnsi="Arial" w:cs="Arial"/>
          <w:b/>
          <w:i/>
          <w:color w:val="000000"/>
        </w:rPr>
        <w:t xml:space="preserve"> год;</w:t>
      </w:r>
    </w:p>
    <w:p w:rsidR="007B6CF9" w:rsidRPr="00FA47E0"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sidRPr="00FA47E0">
        <w:rPr>
          <w:rFonts w:ascii="Arial" w:hAnsi="Arial" w:cs="Arial"/>
          <w:b/>
          <w:i/>
          <w:color w:val="000000"/>
        </w:rPr>
        <w:t>отчета об изменениях капитала за 201</w:t>
      </w:r>
      <w:r>
        <w:rPr>
          <w:rFonts w:ascii="Arial" w:hAnsi="Arial" w:cs="Arial"/>
          <w:b/>
          <w:i/>
          <w:color w:val="000000"/>
        </w:rPr>
        <w:t>3</w:t>
      </w:r>
      <w:r w:rsidRPr="00FA47E0">
        <w:rPr>
          <w:rFonts w:ascii="Arial" w:hAnsi="Arial" w:cs="Arial"/>
          <w:b/>
          <w:i/>
          <w:color w:val="000000"/>
        </w:rPr>
        <w:t xml:space="preserve"> год;</w:t>
      </w:r>
    </w:p>
    <w:p w:rsidR="007B6CF9" w:rsidRPr="00FA47E0"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sidRPr="00FA47E0">
        <w:rPr>
          <w:rFonts w:ascii="Arial" w:hAnsi="Arial" w:cs="Arial"/>
          <w:b/>
          <w:i/>
          <w:color w:val="000000"/>
        </w:rPr>
        <w:t xml:space="preserve">отчета о движении денежных средств за </w:t>
      </w:r>
      <w:r>
        <w:rPr>
          <w:rFonts w:ascii="Arial" w:hAnsi="Arial" w:cs="Arial"/>
          <w:b/>
          <w:i/>
          <w:color w:val="000000"/>
        </w:rPr>
        <w:t xml:space="preserve">январь – декабрь </w:t>
      </w:r>
      <w:r w:rsidRPr="00FA47E0">
        <w:rPr>
          <w:rFonts w:ascii="Arial" w:hAnsi="Arial" w:cs="Arial"/>
          <w:b/>
          <w:i/>
          <w:color w:val="000000"/>
        </w:rPr>
        <w:t>201</w:t>
      </w:r>
      <w:r>
        <w:rPr>
          <w:rFonts w:ascii="Arial" w:hAnsi="Arial" w:cs="Arial"/>
          <w:b/>
          <w:i/>
          <w:color w:val="000000"/>
        </w:rPr>
        <w:t>3</w:t>
      </w:r>
      <w:r w:rsidRPr="00FA47E0">
        <w:rPr>
          <w:rFonts w:ascii="Arial" w:hAnsi="Arial" w:cs="Arial"/>
          <w:b/>
          <w:i/>
          <w:color w:val="000000"/>
        </w:rPr>
        <w:t xml:space="preserve"> год;</w:t>
      </w:r>
    </w:p>
    <w:p w:rsidR="007B6CF9" w:rsidRPr="00EC694D" w:rsidRDefault="007B6CF9" w:rsidP="007D7C2D">
      <w:pPr>
        <w:widowControl/>
        <w:numPr>
          <w:ilvl w:val="0"/>
          <w:numId w:val="11"/>
        </w:numPr>
        <w:autoSpaceDE/>
        <w:autoSpaceDN/>
        <w:spacing w:before="0" w:after="0"/>
        <w:ind w:left="0" w:right="40" w:firstLine="567"/>
        <w:jc w:val="both"/>
        <w:rPr>
          <w:b/>
          <w:color w:val="000000"/>
          <w:sz w:val="24"/>
          <w:szCs w:val="24"/>
        </w:rPr>
      </w:pPr>
      <w:r w:rsidRPr="00FA47E0">
        <w:rPr>
          <w:rFonts w:ascii="Arial" w:hAnsi="Arial" w:cs="Arial"/>
          <w:b/>
          <w:i/>
          <w:color w:val="000000"/>
        </w:rPr>
        <w:t>пояснений к бухгалтерскому балансу и отчету о финансовых результатах</w:t>
      </w:r>
      <w:r>
        <w:rPr>
          <w:rFonts w:ascii="Arial" w:hAnsi="Arial" w:cs="Arial"/>
          <w:b/>
          <w:i/>
          <w:color w:val="000000"/>
        </w:rPr>
        <w:t xml:space="preserve"> за 2013 год</w:t>
      </w:r>
      <w:r w:rsidRPr="00EC694D">
        <w:rPr>
          <w:b/>
          <w:color w:val="000000"/>
          <w:sz w:val="24"/>
          <w:szCs w:val="24"/>
        </w:rPr>
        <w:t>.</w:t>
      </w:r>
    </w:p>
    <w:p w:rsidR="007B6CF9" w:rsidRPr="00FA47E0" w:rsidRDefault="007B6CF9" w:rsidP="007B6CF9">
      <w:pPr>
        <w:rPr>
          <w:rFonts w:ascii="Arial" w:hAnsi="Arial" w:cs="Arial"/>
          <w:b/>
          <w:i/>
          <w:color w:val="000000"/>
          <w:u w:val="single"/>
        </w:rPr>
      </w:pPr>
      <w:r w:rsidRPr="00FA47E0">
        <w:rPr>
          <w:rFonts w:ascii="Arial" w:hAnsi="Arial" w:cs="Arial"/>
          <w:b/>
          <w:i/>
          <w:u w:val="single"/>
        </w:rPr>
        <w:t>Годовая бухгалтерская (финансовая) отчетность Эмитента за 201</w:t>
      </w:r>
      <w:r>
        <w:rPr>
          <w:rFonts w:ascii="Arial" w:hAnsi="Arial" w:cs="Arial"/>
          <w:b/>
          <w:i/>
          <w:u w:val="single"/>
        </w:rPr>
        <w:t>4</w:t>
      </w:r>
      <w:r w:rsidRPr="00FA47E0">
        <w:rPr>
          <w:rFonts w:ascii="Arial" w:hAnsi="Arial" w:cs="Arial"/>
          <w:b/>
          <w:i/>
          <w:u w:val="single"/>
        </w:rPr>
        <w:t xml:space="preserve"> год </w:t>
      </w:r>
      <w:r w:rsidRPr="00FA47E0">
        <w:rPr>
          <w:rFonts w:ascii="Arial" w:hAnsi="Arial" w:cs="Arial"/>
          <w:b/>
          <w:i/>
          <w:color w:val="000000"/>
          <w:u w:val="single"/>
        </w:rPr>
        <w:t>состоит из:</w:t>
      </w:r>
    </w:p>
    <w:p w:rsidR="007B6CF9" w:rsidRPr="00FA47E0"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sidRPr="00FA47E0">
        <w:rPr>
          <w:rFonts w:ascii="Arial" w:hAnsi="Arial" w:cs="Arial"/>
          <w:b/>
          <w:i/>
          <w:color w:val="000000"/>
        </w:rPr>
        <w:t>аудиторского заключения;</w:t>
      </w:r>
    </w:p>
    <w:p w:rsidR="007B6CF9" w:rsidRPr="00FA47E0"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sidRPr="00FA47E0">
        <w:rPr>
          <w:rFonts w:ascii="Arial" w:hAnsi="Arial" w:cs="Arial"/>
          <w:b/>
          <w:i/>
          <w:color w:val="000000"/>
        </w:rPr>
        <w:t>бухгалтерского баланса на 31 декабря 201</w:t>
      </w:r>
      <w:r>
        <w:rPr>
          <w:rFonts w:ascii="Arial" w:hAnsi="Arial" w:cs="Arial"/>
          <w:b/>
          <w:i/>
          <w:color w:val="000000"/>
        </w:rPr>
        <w:t>4</w:t>
      </w:r>
      <w:r w:rsidRPr="00FA47E0">
        <w:rPr>
          <w:rFonts w:ascii="Arial" w:hAnsi="Arial" w:cs="Arial"/>
          <w:b/>
          <w:i/>
          <w:color w:val="000000"/>
        </w:rPr>
        <w:t xml:space="preserve"> года;</w:t>
      </w:r>
    </w:p>
    <w:p w:rsidR="007B6CF9" w:rsidRPr="00FA47E0"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sidRPr="00FA47E0">
        <w:rPr>
          <w:rFonts w:ascii="Arial" w:hAnsi="Arial" w:cs="Arial"/>
          <w:b/>
          <w:i/>
          <w:color w:val="000000"/>
        </w:rPr>
        <w:t xml:space="preserve">отчета о финансовых результатах за </w:t>
      </w:r>
      <w:r>
        <w:rPr>
          <w:rFonts w:ascii="Arial" w:hAnsi="Arial" w:cs="Arial"/>
          <w:b/>
          <w:i/>
          <w:color w:val="000000"/>
        </w:rPr>
        <w:t xml:space="preserve">январь – декабрь </w:t>
      </w:r>
      <w:r w:rsidRPr="00FA47E0">
        <w:rPr>
          <w:rFonts w:ascii="Arial" w:hAnsi="Arial" w:cs="Arial"/>
          <w:b/>
          <w:i/>
          <w:color w:val="000000"/>
        </w:rPr>
        <w:t>201</w:t>
      </w:r>
      <w:r>
        <w:rPr>
          <w:rFonts w:ascii="Arial" w:hAnsi="Arial" w:cs="Arial"/>
          <w:b/>
          <w:i/>
          <w:color w:val="000000"/>
        </w:rPr>
        <w:t>4</w:t>
      </w:r>
      <w:r w:rsidRPr="00FA47E0">
        <w:rPr>
          <w:rFonts w:ascii="Arial" w:hAnsi="Arial" w:cs="Arial"/>
          <w:b/>
          <w:i/>
          <w:color w:val="000000"/>
        </w:rPr>
        <w:t xml:space="preserve"> год;</w:t>
      </w:r>
    </w:p>
    <w:p w:rsidR="007B6CF9" w:rsidRPr="00FA47E0"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sidRPr="00FA47E0">
        <w:rPr>
          <w:rFonts w:ascii="Arial" w:hAnsi="Arial" w:cs="Arial"/>
          <w:b/>
          <w:i/>
          <w:color w:val="000000"/>
        </w:rPr>
        <w:t>отчета об изменениях капитала за 201</w:t>
      </w:r>
      <w:r>
        <w:rPr>
          <w:rFonts w:ascii="Arial" w:hAnsi="Arial" w:cs="Arial"/>
          <w:b/>
          <w:i/>
          <w:color w:val="000000"/>
        </w:rPr>
        <w:t>4</w:t>
      </w:r>
      <w:r w:rsidRPr="00FA47E0">
        <w:rPr>
          <w:rFonts w:ascii="Arial" w:hAnsi="Arial" w:cs="Arial"/>
          <w:b/>
          <w:i/>
          <w:color w:val="000000"/>
        </w:rPr>
        <w:t xml:space="preserve"> год;</w:t>
      </w:r>
    </w:p>
    <w:p w:rsidR="007B6CF9" w:rsidRPr="00FA47E0"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sidRPr="00FA47E0">
        <w:rPr>
          <w:rFonts w:ascii="Arial" w:hAnsi="Arial" w:cs="Arial"/>
          <w:b/>
          <w:i/>
          <w:color w:val="000000"/>
        </w:rPr>
        <w:t xml:space="preserve">отчета о движении денежных средств за </w:t>
      </w:r>
      <w:r>
        <w:rPr>
          <w:rFonts w:ascii="Arial" w:hAnsi="Arial" w:cs="Arial"/>
          <w:b/>
          <w:i/>
          <w:color w:val="000000"/>
        </w:rPr>
        <w:t xml:space="preserve">январь – декабрь </w:t>
      </w:r>
      <w:r w:rsidRPr="00FA47E0">
        <w:rPr>
          <w:rFonts w:ascii="Arial" w:hAnsi="Arial" w:cs="Arial"/>
          <w:b/>
          <w:i/>
          <w:color w:val="000000"/>
        </w:rPr>
        <w:t>201</w:t>
      </w:r>
      <w:r>
        <w:rPr>
          <w:rFonts w:ascii="Arial" w:hAnsi="Arial" w:cs="Arial"/>
          <w:b/>
          <w:i/>
          <w:color w:val="000000"/>
        </w:rPr>
        <w:t>4</w:t>
      </w:r>
      <w:r w:rsidRPr="00FA47E0">
        <w:rPr>
          <w:rFonts w:ascii="Arial" w:hAnsi="Arial" w:cs="Arial"/>
          <w:b/>
          <w:i/>
          <w:color w:val="000000"/>
        </w:rPr>
        <w:t xml:space="preserve"> год;</w:t>
      </w:r>
    </w:p>
    <w:p w:rsidR="007B6CF9" w:rsidRPr="00EC694D" w:rsidRDefault="007B6CF9" w:rsidP="007D7C2D">
      <w:pPr>
        <w:widowControl/>
        <w:numPr>
          <w:ilvl w:val="0"/>
          <w:numId w:val="11"/>
        </w:numPr>
        <w:autoSpaceDE/>
        <w:autoSpaceDN/>
        <w:spacing w:before="0" w:after="0"/>
        <w:ind w:left="0" w:right="40" w:firstLine="567"/>
        <w:jc w:val="both"/>
        <w:rPr>
          <w:b/>
          <w:color w:val="000000"/>
          <w:sz w:val="24"/>
          <w:szCs w:val="24"/>
        </w:rPr>
      </w:pPr>
      <w:r w:rsidRPr="00FA47E0">
        <w:rPr>
          <w:rFonts w:ascii="Arial" w:hAnsi="Arial" w:cs="Arial"/>
          <w:b/>
          <w:i/>
          <w:color w:val="000000"/>
        </w:rPr>
        <w:t>пояснений к бухгалтерскому балансу и отчету о финансовых результатах</w:t>
      </w:r>
      <w:r>
        <w:rPr>
          <w:rFonts w:ascii="Arial" w:hAnsi="Arial" w:cs="Arial"/>
          <w:b/>
          <w:i/>
          <w:color w:val="000000"/>
        </w:rPr>
        <w:t xml:space="preserve"> за 2014 год</w:t>
      </w:r>
      <w:r w:rsidRPr="00EC694D">
        <w:rPr>
          <w:b/>
          <w:color w:val="000000"/>
          <w:sz w:val="24"/>
          <w:szCs w:val="24"/>
        </w:rPr>
        <w:t>.</w:t>
      </w:r>
    </w:p>
    <w:p w:rsidR="007B6CF9" w:rsidRPr="00FA47E0" w:rsidRDefault="007B6CF9" w:rsidP="007B6CF9">
      <w:pPr>
        <w:rPr>
          <w:rFonts w:ascii="Arial" w:hAnsi="Arial" w:cs="Arial"/>
          <w:b/>
          <w:i/>
          <w:color w:val="000000"/>
          <w:u w:val="single"/>
        </w:rPr>
      </w:pPr>
      <w:r w:rsidRPr="00FA47E0">
        <w:rPr>
          <w:rFonts w:ascii="Arial" w:hAnsi="Arial" w:cs="Arial"/>
          <w:b/>
          <w:i/>
          <w:u w:val="single"/>
        </w:rPr>
        <w:t>Годовая бухгалтерская (финансовая) отчетность Эмитента за 201</w:t>
      </w:r>
      <w:r>
        <w:rPr>
          <w:rFonts w:ascii="Arial" w:hAnsi="Arial" w:cs="Arial"/>
          <w:b/>
          <w:i/>
          <w:u w:val="single"/>
        </w:rPr>
        <w:t>5</w:t>
      </w:r>
      <w:r w:rsidRPr="00FA47E0">
        <w:rPr>
          <w:rFonts w:ascii="Arial" w:hAnsi="Arial" w:cs="Arial"/>
          <w:b/>
          <w:i/>
          <w:u w:val="single"/>
        </w:rPr>
        <w:t xml:space="preserve"> год </w:t>
      </w:r>
      <w:r w:rsidRPr="00FA47E0">
        <w:rPr>
          <w:rFonts w:ascii="Arial" w:hAnsi="Arial" w:cs="Arial"/>
          <w:b/>
          <w:i/>
          <w:color w:val="000000"/>
          <w:u w:val="single"/>
        </w:rPr>
        <w:t>состоит из:</w:t>
      </w:r>
    </w:p>
    <w:p w:rsidR="007B6CF9" w:rsidRPr="00FA47E0"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sidRPr="00FA47E0">
        <w:rPr>
          <w:rFonts w:ascii="Arial" w:hAnsi="Arial" w:cs="Arial"/>
          <w:b/>
          <w:i/>
          <w:color w:val="000000"/>
        </w:rPr>
        <w:t>аудиторского заключения;</w:t>
      </w:r>
    </w:p>
    <w:p w:rsidR="007B6CF9" w:rsidRPr="00FA47E0"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sidRPr="00FA47E0">
        <w:rPr>
          <w:rFonts w:ascii="Arial" w:hAnsi="Arial" w:cs="Arial"/>
          <w:b/>
          <w:i/>
          <w:color w:val="000000"/>
        </w:rPr>
        <w:t>бухгалтерского баланса на 31 декабря 201</w:t>
      </w:r>
      <w:r>
        <w:rPr>
          <w:rFonts w:ascii="Arial" w:hAnsi="Arial" w:cs="Arial"/>
          <w:b/>
          <w:i/>
          <w:color w:val="000000"/>
        </w:rPr>
        <w:t>5</w:t>
      </w:r>
      <w:r w:rsidRPr="00FA47E0">
        <w:rPr>
          <w:rFonts w:ascii="Arial" w:hAnsi="Arial" w:cs="Arial"/>
          <w:b/>
          <w:i/>
          <w:color w:val="000000"/>
        </w:rPr>
        <w:t xml:space="preserve"> года;</w:t>
      </w:r>
    </w:p>
    <w:p w:rsidR="007B6CF9" w:rsidRPr="00FA47E0"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sidRPr="00FA47E0">
        <w:rPr>
          <w:rFonts w:ascii="Arial" w:hAnsi="Arial" w:cs="Arial"/>
          <w:b/>
          <w:i/>
          <w:color w:val="000000"/>
        </w:rPr>
        <w:t xml:space="preserve">отчета о финансовых результатах за </w:t>
      </w:r>
      <w:r>
        <w:rPr>
          <w:rFonts w:ascii="Arial" w:hAnsi="Arial" w:cs="Arial"/>
          <w:b/>
          <w:i/>
          <w:color w:val="000000"/>
        </w:rPr>
        <w:t xml:space="preserve">январь – декабрь </w:t>
      </w:r>
      <w:r w:rsidRPr="00FA47E0">
        <w:rPr>
          <w:rFonts w:ascii="Arial" w:hAnsi="Arial" w:cs="Arial"/>
          <w:b/>
          <w:i/>
          <w:color w:val="000000"/>
        </w:rPr>
        <w:t>201</w:t>
      </w:r>
      <w:r>
        <w:rPr>
          <w:rFonts w:ascii="Arial" w:hAnsi="Arial" w:cs="Arial"/>
          <w:b/>
          <w:i/>
          <w:color w:val="000000"/>
        </w:rPr>
        <w:t>5</w:t>
      </w:r>
      <w:r w:rsidRPr="00FA47E0">
        <w:rPr>
          <w:rFonts w:ascii="Arial" w:hAnsi="Arial" w:cs="Arial"/>
          <w:b/>
          <w:i/>
          <w:color w:val="000000"/>
        </w:rPr>
        <w:t xml:space="preserve"> год;</w:t>
      </w:r>
    </w:p>
    <w:p w:rsidR="007B6CF9" w:rsidRPr="00FA47E0"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sidRPr="00FA47E0">
        <w:rPr>
          <w:rFonts w:ascii="Arial" w:hAnsi="Arial" w:cs="Arial"/>
          <w:b/>
          <w:i/>
          <w:color w:val="000000"/>
        </w:rPr>
        <w:t>отчета об изменениях капитала за 201</w:t>
      </w:r>
      <w:r>
        <w:rPr>
          <w:rFonts w:ascii="Arial" w:hAnsi="Arial" w:cs="Arial"/>
          <w:b/>
          <w:i/>
          <w:color w:val="000000"/>
        </w:rPr>
        <w:t xml:space="preserve">5 </w:t>
      </w:r>
      <w:r w:rsidRPr="00FA47E0">
        <w:rPr>
          <w:rFonts w:ascii="Arial" w:hAnsi="Arial" w:cs="Arial"/>
          <w:b/>
          <w:i/>
          <w:color w:val="000000"/>
        </w:rPr>
        <w:t>год;</w:t>
      </w:r>
    </w:p>
    <w:p w:rsidR="007B6CF9" w:rsidRPr="00FA47E0"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sidRPr="00FA47E0">
        <w:rPr>
          <w:rFonts w:ascii="Arial" w:hAnsi="Arial" w:cs="Arial"/>
          <w:b/>
          <w:i/>
          <w:color w:val="000000"/>
        </w:rPr>
        <w:t xml:space="preserve">отчета о движении денежных средств за </w:t>
      </w:r>
      <w:r>
        <w:rPr>
          <w:rFonts w:ascii="Arial" w:hAnsi="Arial" w:cs="Arial"/>
          <w:b/>
          <w:i/>
          <w:color w:val="000000"/>
        </w:rPr>
        <w:t xml:space="preserve">январь – декабрь </w:t>
      </w:r>
      <w:r w:rsidRPr="00FA47E0">
        <w:rPr>
          <w:rFonts w:ascii="Arial" w:hAnsi="Arial" w:cs="Arial"/>
          <w:b/>
          <w:i/>
          <w:color w:val="000000"/>
        </w:rPr>
        <w:t>201</w:t>
      </w:r>
      <w:r>
        <w:rPr>
          <w:rFonts w:ascii="Arial" w:hAnsi="Arial" w:cs="Arial"/>
          <w:b/>
          <w:i/>
          <w:color w:val="000000"/>
        </w:rPr>
        <w:t>5</w:t>
      </w:r>
      <w:r w:rsidRPr="00FA47E0">
        <w:rPr>
          <w:rFonts w:ascii="Arial" w:hAnsi="Arial" w:cs="Arial"/>
          <w:b/>
          <w:i/>
          <w:color w:val="000000"/>
        </w:rPr>
        <w:t xml:space="preserve"> год;</w:t>
      </w:r>
    </w:p>
    <w:p w:rsidR="007B6CF9" w:rsidRPr="00EC694D" w:rsidRDefault="007B6CF9" w:rsidP="007D7C2D">
      <w:pPr>
        <w:widowControl/>
        <w:numPr>
          <w:ilvl w:val="0"/>
          <w:numId w:val="11"/>
        </w:numPr>
        <w:autoSpaceDE/>
        <w:autoSpaceDN/>
        <w:spacing w:before="0" w:after="0"/>
        <w:ind w:left="0" w:right="40" w:firstLine="567"/>
        <w:jc w:val="both"/>
        <w:rPr>
          <w:b/>
          <w:color w:val="000000"/>
          <w:sz w:val="24"/>
          <w:szCs w:val="24"/>
        </w:rPr>
      </w:pPr>
      <w:r w:rsidRPr="00FA47E0">
        <w:rPr>
          <w:rFonts w:ascii="Arial" w:hAnsi="Arial" w:cs="Arial"/>
          <w:b/>
          <w:i/>
          <w:color w:val="000000"/>
        </w:rPr>
        <w:t>пояснений к бухгалтерскому балансу и отчету о финансовых результатах</w:t>
      </w:r>
      <w:r>
        <w:rPr>
          <w:rFonts w:ascii="Arial" w:hAnsi="Arial" w:cs="Arial"/>
          <w:b/>
          <w:i/>
          <w:color w:val="000000"/>
        </w:rPr>
        <w:t xml:space="preserve"> за 2015 год</w:t>
      </w:r>
      <w:r w:rsidRPr="00EC694D">
        <w:rPr>
          <w:b/>
          <w:color w:val="000000"/>
          <w:sz w:val="24"/>
          <w:szCs w:val="24"/>
        </w:rPr>
        <w:t>.</w:t>
      </w:r>
    </w:p>
    <w:p w:rsidR="007B6CF9" w:rsidRPr="00FA47E0" w:rsidRDefault="007B6CF9" w:rsidP="007B6CF9">
      <w:pPr>
        <w:pStyle w:val="ConsPlusNormal"/>
        <w:ind w:firstLine="540"/>
        <w:jc w:val="both"/>
        <w:rPr>
          <w:rFonts w:ascii="Times New Roman" w:hAnsi="Times New Roman" w:cs="Times New Roman"/>
        </w:rPr>
      </w:pPr>
    </w:p>
    <w:p w:rsidR="007B6CF9" w:rsidRDefault="007B6CF9" w:rsidP="007B6CF9">
      <w:pPr>
        <w:pStyle w:val="ConsPlusNormal"/>
        <w:ind w:firstLine="540"/>
        <w:jc w:val="both"/>
        <w:rPr>
          <w:rFonts w:ascii="Times New Roman" w:hAnsi="Times New Roman" w:cs="Times New Roman"/>
        </w:rPr>
      </w:pPr>
      <w:r>
        <w:rPr>
          <w:rFonts w:ascii="Times New Roman" w:hAnsi="Times New Roman" w:cs="Times New Roman"/>
        </w:rPr>
        <w:t xml:space="preserve">б) при наличии у эмитента годовой финансовой отчетности, составленной в соответствии с Международными стандартами финансовой отчетности (МСФО) либо иными, отличными от МСФО, международно признанными правилами, дополнительно прилагается такая финансовая отчетность эмитента, а если в отношении нее проведен аудит - вместе с соответствующим аудиторским заключением на русском языке за период, предусмотренный </w:t>
      </w:r>
      <w:hyperlink r:id="rId14" w:anchor="Par981" w:history="1">
        <w:r w:rsidRPr="00EE2E12">
          <w:rPr>
            <w:rFonts w:ascii="Times New Roman" w:hAnsi="Times New Roman" w:cs="Times New Roman"/>
          </w:rPr>
          <w:t>подпунктом "а"</w:t>
        </w:r>
      </w:hyperlink>
      <w:r w:rsidRPr="00776C18">
        <w:rPr>
          <w:rFonts w:ascii="Times New Roman" w:hAnsi="Times New Roman" w:cs="Times New Roman"/>
        </w:rPr>
        <w:t xml:space="preserve"> </w:t>
      </w:r>
      <w:r>
        <w:rPr>
          <w:rFonts w:ascii="Times New Roman" w:hAnsi="Times New Roman" w:cs="Times New Roman"/>
        </w:rPr>
        <w:t>настоящего пункта. При этом отдельно указываются стандарты (правила), в соответствии с которыми составлена такая годовая финансовая отчетность.</w:t>
      </w:r>
    </w:p>
    <w:p w:rsidR="007B6CF9" w:rsidRPr="0001486E" w:rsidRDefault="007B6CF9" w:rsidP="007D7C2D">
      <w:pPr>
        <w:ind w:firstLine="540"/>
        <w:jc w:val="both"/>
        <w:rPr>
          <w:rFonts w:ascii="Arial" w:hAnsi="Arial" w:cs="Arial"/>
          <w:b/>
          <w:i/>
        </w:rPr>
      </w:pPr>
      <w:r w:rsidRPr="0001486E">
        <w:rPr>
          <w:rFonts w:ascii="Arial" w:hAnsi="Arial" w:cs="Arial"/>
          <w:b/>
          <w:i/>
        </w:rPr>
        <w:t xml:space="preserve">У Эмитента отсутствует годовая </w:t>
      </w:r>
      <w:r>
        <w:rPr>
          <w:rFonts w:ascii="Arial" w:hAnsi="Arial" w:cs="Arial"/>
          <w:b/>
          <w:i/>
        </w:rPr>
        <w:t>финансовая</w:t>
      </w:r>
      <w:r w:rsidRPr="0001486E">
        <w:rPr>
          <w:rFonts w:ascii="Arial" w:hAnsi="Arial" w:cs="Arial"/>
          <w:b/>
          <w:i/>
        </w:rPr>
        <w:t xml:space="preserve"> отчетность</w:t>
      </w:r>
      <w:r>
        <w:rPr>
          <w:rFonts w:ascii="Arial" w:hAnsi="Arial" w:cs="Arial"/>
          <w:b/>
          <w:i/>
        </w:rPr>
        <w:t>, составленная</w:t>
      </w:r>
      <w:r w:rsidRPr="0001486E">
        <w:rPr>
          <w:rFonts w:ascii="Arial" w:hAnsi="Arial" w:cs="Arial"/>
          <w:b/>
          <w:i/>
        </w:rPr>
        <w:t xml:space="preserve"> в соответствии с Международными стандартами финансовой отчетности (МСФО) либо иными, отличными от МСФО, международн</w:t>
      </w:r>
      <w:r>
        <w:rPr>
          <w:rFonts w:ascii="Arial" w:hAnsi="Arial" w:cs="Arial"/>
          <w:b/>
          <w:i/>
        </w:rPr>
        <w:t xml:space="preserve">о-признанными правилами за 2013 и </w:t>
      </w:r>
      <w:r w:rsidRPr="0001486E">
        <w:rPr>
          <w:rFonts w:ascii="Arial" w:hAnsi="Arial" w:cs="Arial"/>
          <w:b/>
          <w:i/>
        </w:rPr>
        <w:t>2014 годы.</w:t>
      </w:r>
    </w:p>
    <w:p w:rsidR="007B6CF9" w:rsidRPr="00FA47E0" w:rsidRDefault="007B6CF9" w:rsidP="007D7C2D">
      <w:pPr>
        <w:ind w:firstLine="540"/>
        <w:jc w:val="both"/>
        <w:rPr>
          <w:rFonts w:ascii="Arial" w:hAnsi="Arial" w:cs="Arial"/>
          <w:b/>
          <w:i/>
        </w:rPr>
      </w:pPr>
      <w:r w:rsidRPr="00FA47E0">
        <w:rPr>
          <w:rFonts w:ascii="Arial" w:hAnsi="Arial" w:cs="Arial"/>
          <w:b/>
          <w:i/>
        </w:rPr>
        <w:t>Годовая финансовая отчетность Эмитента за 201</w:t>
      </w:r>
      <w:r>
        <w:rPr>
          <w:rFonts w:ascii="Arial" w:hAnsi="Arial" w:cs="Arial"/>
          <w:b/>
          <w:i/>
        </w:rPr>
        <w:t>2</w:t>
      </w:r>
      <w:r w:rsidRPr="00FA47E0">
        <w:rPr>
          <w:rFonts w:ascii="Arial" w:hAnsi="Arial" w:cs="Arial"/>
          <w:b/>
          <w:i/>
        </w:rPr>
        <w:t xml:space="preserve"> год, </w:t>
      </w:r>
      <w:r>
        <w:rPr>
          <w:rFonts w:ascii="Arial" w:hAnsi="Arial" w:cs="Arial"/>
          <w:b/>
          <w:i/>
        </w:rPr>
        <w:t>составленная</w:t>
      </w:r>
      <w:r w:rsidRPr="0001486E">
        <w:rPr>
          <w:rFonts w:ascii="Arial" w:hAnsi="Arial" w:cs="Arial"/>
          <w:b/>
          <w:i/>
        </w:rPr>
        <w:t xml:space="preserve"> в соответствии с Международными стандартами финансовой отчетности (МСФО) </w:t>
      </w:r>
      <w:r>
        <w:rPr>
          <w:rFonts w:ascii="Arial" w:hAnsi="Arial" w:cs="Arial"/>
          <w:b/>
          <w:i/>
        </w:rPr>
        <w:t xml:space="preserve">приводится </w:t>
      </w:r>
      <w:r w:rsidRPr="00FA47E0">
        <w:rPr>
          <w:rFonts w:ascii="Arial" w:hAnsi="Arial" w:cs="Arial"/>
          <w:b/>
          <w:i/>
        </w:rPr>
        <w:t xml:space="preserve">в Приложении № </w:t>
      </w:r>
      <w:r>
        <w:rPr>
          <w:rFonts w:ascii="Arial" w:hAnsi="Arial" w:cs="Arial"/>
          <w:b/>
          <w:i/>
        </w:rPr>
        <w:t>2</w:t>
      </w:r>
      <w:r w:rsidRPr="00FA47E0">
        <w:rPr>
          <w:rFonts w:ascii="Arial" w:hAnsi="Arial" w:cs="Arial"/>
          <w:b/>
          <w:i/>
        </w:rPr>
        <w:t xml:space="preserve"> к настоящему Проспекту ценных бумаг: </w:t>
      </w:r>
    </w:p>
    <w:p w:rsidR="007B6CF9" w:rsidRDefault="007B6CF9" w:rsidP="007D7C2D">
      <w:pPr>
        <w:ind w:firstLine="540"/>
        <w:jc w:val="both"/>
        <w:rPr>
          <w:rFonts w:ascii="Arial" w:hAnsi="Arial" w:cs="Arial"/>
          <w:b/>
          <w:i/>
          <w:u w:val="single"/>
        </w:rPr>
      </w:pPr>
    </w:p>
    <w:p w:rsidR="007B6CF9" w:rsidRDefault="007B6CF9" w:rsidP="007D7C2D">
      <w:pPr>
        <w:ind w:firstLine="567"/>
        <w:rPr>
          <w:rFonts w:ascii="Arial" w:hAnsi="Arial" w:cs="Arial"/>
          <w:b/>
          <w:i/>
          <w:u w:val="single"/>
        </w:rPr>
      </w:pPr>
      <w:r w:rsidRPr="0001486E">
        <w:rPr>
          <w:rFonts w:ascii="Arial" w:hAnsi="Arial" w:cs="Arial"/>
          <w:b/>
          <w:i/>
          <w:u w:val="single"/>
        </w:rPr>
        <w:t>Годовая финансовая отчетность</w:t>
      </w:r>
      <w:r>
        <w:rPr>
          <w:rFonts w:ascii="Arial" w:hAnsi="Arial" w:cs="Arial"/>
          <w:b/>
          <w:i/>
          <w:u w:val="single"/>
        </w:rPr>
        <w:t xml:space="preserve"> Эмитента</w:t>
      </w:r>
      <w:r w:rsidRPr="0001486E">
        <w:rPr>
          <w:rFonts w:ascii="Arial" w:hAnsi="Arial" w:cs="Arial"/>
          <w:b/>
          <w:i/>
          <w:u w:val="single"/>
        </w:rPr>
        <w:t xml:space="preserve"> за 2012 год</w:t>
      </w:r>
      <w:r>
        <w:rPr>
          <w:rFonts w:ascii="Arial" w:hAnsi="Arial" w:cs="Arial"/>
          <w:b/>
          <w:i/>
          <w:u w:val="single"/>
        </w:rPr>
        <w:t xml:space="preserve"> состоит из</w:t>
      </w:r>
      <w:r w:rsidRPr="0001486E">
        <w:rPr>
          <w:rFonts w:ascii="Arial" w:hAnsi="Arial" w:cs="Arial"/>
          <w:b/>
          <w:i/>
          <w:u w:val="single"/>
        </w:rPr>
        <w:t>:</w:t>
      </w:r>
    </w:p>
    <w:p w:rsidR="007B6CF9" w:rsidRPr="00FA47E0"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sidRPr="00FA47E0">
        <w:rPr>
          <w:rFonts w:ascii="Arial" w:hAnsi="Arial" w:cs="Arial"/>
          <w:b/>
          <w:i/>
          <w:color w:val="000000"/>
        </w:rPr>
        <w:t>заключения</w:t>
      </w:r>
      <w:r>
        <w:rPr>
          <w:rFonts w:ascii="Arial" w:hAnsi="Arial" w:cs="Arial"/>
          <w:b/>
          <w:i/>
          <w:color w:val="000000"/>
        </w:rPr>
        <w:t xml:space="preserve"> независимого аудитора</w:t>
      </w:r>
      <w:r w:rsidRPr="00FA47E0">
        <w:rPr>
          <w:rFonts w:ascii="Arial" w:hAnsi="Arial" w:cs="Arial"/>
          <w:b/>
          <w:i/>
          <w:color w:val="000000"/>
        </w:rPr>
        <w:t>;</w:t>
      </w:r>
    </w:p>
    <w:p w:rsidR="007B6CF9" w:rsidRPr="00FA47E0"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Pr>
          <w:rFonts w:ascii="Arial" w:hAnsi="Arial" w:cs="Arial"/>
          <w:b/>
          <w:i/>
          <w:color w:val="000000"/>
        </w:rPr>
        <w:t xml:space="preserve">отдельного отчета о финансовом положении </w:t>
      </w:r>
      <w:r w:rsidRPr="00FA47E0">
        <w:rPr>
          <w:rFonts w:ascii="Arial" w:hAnsi="Arial" w:cs="Arial"/>
          <w:b/>
          <w:i/>
          <w:color w:val="000000"/>
        </w:rPr>
        <w:t>на 31 декабря 201</w:t>
      </w:r>
      <w:r>
        <w:rPr>
          <w:rFonts w:ascii="Arial" w:hAnsi="Arial" w:cs="Arial"/>
          <w:b/>
          <w:i/>
          <w:color w:val="000000"/>
        </w:rPr>
        <w:t>2</w:t>
      </w:r>
      <w:r w:rsidRPr="00FA47E0">
        <w:rPr>
          <w:rFonts w:ascii="Arial" w:hAnsi="Arial" w:cs="Arial"/>
          <w:b/>
          <w:i/>
          <w:color w:val="000000"/>
        </w:rPr>
        <w:t xml:space="preserve"> года;</w:t>
      </w:r>
    </w:p>
    <w:p w:rsidR="007B6CF9" w:rsidRPr="00FA47E0"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Pr>
          <w:rFonts w:ascii="Arial" w:hAnsi="Arial" w:cs="Arial"/>
          <w:b/>
          <w:i/>
          <w:color w:val="000000"/>
        </w:rPr>
        <w:t xml:space="preserve">отдельного </w:t>
      </w:r>
      <w:r w:rsidRPr="00FA47E0">
        <w:rPr>
          <w:rFonts w:ascii="Arial" w:hAnsi="Arial" w:cs="Arial"/>
          <w:b/>
          <w:i/>
          <w:color w:val="000000"/>
        </w:rPr>
        <w:t xml:space="preserve">отчета о </w:t>
      </w:r>
      <w:r>
        <w:rPr>
          <w:rFonts w:ascii="Arial" w:hAnsi="Arial" w:cs="Arial"/>
          <w:b/>
          <w:i/>
          <w:color w:val="000000"/>
        </w:rPr>
        <w:t xml:space="preserve">совокупном доходе за год, закончившийся 31 декабря </w:t>
      </w:r>
      <w:r w:rsidRPr="00FA47E0">
        <w:rPr>
          <w:rFonts w:ascii="Arial" w:hAnsi="Arial" w:cs="Arial"/>
          <w:b/>
          <w:i/>
          <w:color w:val="000000"/>
        </w:rPr>
        <w:t>201</w:t>
      </w:r>
      <w:r>
        <w:rPr>
          <w:rFonts w:ascii="Arial" w:hAnsi="Arial" w:cs="Arial"/>
          <w:b/>
          <w:i/>
          <w:color w:val="000000"/>
        </w:rPr>
        <w:t>2</w:t>
      </w:r>
      <w:r w:rsidRPr="00FA47E0">
        <w:rPr>
          <w:rFonts w:ascii="Arial" w:hAnsi="Arial" w:cs="Arial"/>
          <w:b/>
          <w:i/>
          <w:color w:val="000000"/>
        </w:rPr>
        <w:t xml:space="preserve"> год</w:t>
      </w:r>
      <w:r>
        <w:rPr>
          <w:rFonts w:ascii="Arial" w:hAnsi="Arial" w:cs="Arial"/>
          <w:b/>
          <w:i/>
          <w:color w:val="000000"/>
        </w:rPr>
        <w:t>а</w:t>
      </w:r>
      <w:r w:rsidRPr="00FA47E0">
        <w:rPr>
          <w:rFonts w:ascii="Arial" w:hAnsi="Arial" w:cs="Arial"/>
          <w:b/>
          <w:i/>
          <w:color w:val="000000"/>
        </w:rPr>
        <w:t>;</w:t>
      </w:r>
    </w:p>
    <w:p w:rsidR="007B6CF9" w:rsidRPr="00FA47E0"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Pr>
          <w:rFonts w:ascii="Arial" w:hAnsi="Arial" w:cs="Arial"/>
          <w:b/>
          <w:i/>
          <w:color w:val="000000"/>
        </w:rPr>
        <w:t xml:space="preserve">отдельного </w:t>
      </w:r>
      <w:r w:rsidRPr="00FA47E0">
        <w:rPr>
          <w:rFonts w:ascii="Arial" w:hAnsi="Arial" w:cs="Arial"/>
          <w:b/>
          <w:i/>
          <w:color w:val="000000"/>
        </w:rPr>
        <w:t>отчета об изменениях</w:t>
      </w:r>
      <w:r>
        <w:rPr>
          <w:rFonts w:ascii="Arial" w:hAnsi="Arial" w:cs="Arial"/>
          <w:b/>
          <w:i/>
          <w:color w:val="000000"/>
        </w:rPr>
        <w:t xml:space="preserve"> в собственном</w:t>
      </w:r>
      <w:r w:rsidRPr="00FA47E0">
        <w:rPr>
          <w:rFonts w:ascii="Arial" w:hAnsi="Arial" w:cs="Arial"/>
          <w:b/>
          <w:i/>
          <w:color w:val="000000"/>
        </w:rPr>
        <w:t xml:space="preserve"> капитал</w:t>
      </w:r>
      <w:r>
        <w:rPr>
          <w:rFonts w:ascii="Arial" w:hAnsi="Arial" w:cs="Arial"/>
          <w:b/>
          <w:i/>
          <w:color w:val="000000"/>
        </w:rPr>
        <w:t xml:space="preserve">е за год, закончившийся 31 декабря </w:t>
      </w:r>
      <w:r w:rsidRPr="00FA47E0">
        <w:rPr>
          <w:rFonts w:ascii="Arial" w:hAnsi="Arial" w:cs="Arial"/>
          <w:b/>
          <w:i/>
          <w:color w:val="000000"/>
        </w:rPr>
        <w:t>201</w:t>
      </w:r>
      <w:r>
        <w:rPr>
          <w:rFonts w:ascii="Arial" w:hAnsi="Arial" w:cs="Arial"/>
          <w:b/>
          <w:i/>
          <w:color w:val="000000"/>
        </w:rPr>
        <w:t>2</w:t>
      </w:r>
      <w:r w:rsidRPr="00FA47E0">
        <w:rPr>
          <w:rFonts w:ascii="Arial" w:hAnsi="Arial" w:cs="Arial"/>
          <w:b/>
          <w:i/>
          <w:color w:val="000000"/>
        </w:rPr>
        <w:t xml:space="preserve"> год</w:t>
      </w:r>
      <w:r>
        <w:rPr>
          <w:rFonts w:ascii="Arial" w:hAnsi="Arial" w:cs="Arial"/>
          <w:b/>
          <w:i/>
          <w:color w:val="000000"/>
        </w:rPr>
        <w:t>а</w:t>
      </w:r>
      <w:r w:rsidRPr="00FA47E0">
        <w:rPr>
          <w:rFonts w:ascii="Arial" w:hAnsi="Arial" w:cs="Arial"/>
          <w:b/>
          <w:i/>
          <w:color w:val="000000"/>
        </w:rPr>
        <w:t>;</w:t>
      </w:r>
    </w:p>
    <w:p w:rsidR="007B6CF9" w:rsidRPr="00FA47E0"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Pr>
          <w:rFonts w:ascii="Arial" w:hAnsi="Arial" w:cs="Arial"/>
          <w:b/>
          <w:i/>
          <w:color w:val="000000"/>
        </w:rPr>
        <w:t xml:space="preserve">отдельного </w:t>
      </w:r>
      <w:r w:rsidRPr="00FA47E0">
        <w:rPr>
          <w:rFonts w:ascii="Arial" w:hAnsi="Arial" w:cs="Arial"/>
          <w:b/>
          <w:i/>
          <w:color w:val="000000"/>
        </w:rPr>
        <w:t xml:space="preserve">отчета о движении денежных средств </w:t>
      </w:r>
      <w:r>
        <w:rPr>
          <w:rFonts w:ascii="Arial" w:hAnsi="Arial" w:cs="Arial"/>
          <w:b/>
          <w:i/>
          <w:color w:val="000000"/>
        </w:rPr>
        <w:t xml:space="preserve">за год, закончившийся 31 декабря </w:t>
      </w:r>
      <w:r w:rsidRPr="00FA47E0">
        <w:rPr>
          <w:rFonts w:ascii="Arial" w:hAnsi="Arial" w:cs="Arial"/>
          <w:b/>
          <w:i/>
          <w:color w:val="000000"/>
        </w:rPr>
        <w:t>201</w:t>
      </w:r>
      <w:r>
        <w:rPr>
          <w:rFonts w:ascii="Arial" w:hAnsi="Arial" w:cs="Arial"/>
          <w:b/>
          <w:i/>
          <w:color w:val="000000"/>
        </w:rPr>
        <w:t>2</w:t>
      </w:r>
      <w:r w:rsidRPr="00FA47E0">
        <w:rPr>
          <w:rFonts w:ascii="Arial" w:hAnsi="Arial" w:cs="Arial"/>
          <w:b/>
          <w:i/>
          <w:color w:val="000000"/>
        </w:rPr>
        <w:t xml:space="preserve"> год</w:t>
      </w:r>
      <w:r>
        <w:rPr>
          <w:rFonts w:ascii="Arial" w:hAnsi="Arial" w:cs="Arial"/>
          <w:b/>
          <w:i/>
          <w:color w:val="000000"/>
        </w:rPr>
        <w:t>а</w:t>
      </w:r>
      <w:r w:rsidRPr="00FA47E0">
        <w:rPr>
          <w:rFonts w:ascii="Arial" w:hAnsi="Arial" w:cs="Arial"/>
          <w:b/>
          <w:i/>
          <w:color w:val="000000"/>
        </w:rPr>
        <w:t>;</w:t>
      </w:r>
    </w:p>
    <w:p w:rsidR="007B6CF9" w:rsidRPr="00EC694D" w:rsidRDefault="007B6CF9" w:rsidP="007D7C2D">
      <w:pPr>
        <w:widowControl/>
        <w:numPr>
          <w:ilvl w:val="0"/>
          <w:numId w:val="11"/>
        </w:numPr>
        <w:autoSpaceDE/>
        <w:autoSpaceDN/>
        <w:spacing w:before="0" w:after="0"/>
        <w:ind w:left="0" w:right="40" w:firstLine="567"/>
        <w:jc w:val="both"/>
        <w:rPr>
          <w:b/>
          <w:color w:val="000000"/>
          <w:sz w:val="24"/>
          <w:szCs w:val="24"/>
        </w:rPr>
      </w:pPr>
      <w:r w:rsidRPr="00FA47E0">
        <w:rPr>
          <w:rFonts w:ascii="Arial" w:hAnsi="Arial" w:cs="Arial"/>
          <w:b/>
          <w:i/>
          <w:color w:val="000000"/>
        </w:rPr>
        <w:t>п</w:t>
      </w:r>
      <w:r>
        <w:rPr>
          <w:rFonts w:ascii="Arial" w:hAnsi="Arial" w:cs="Arial"/>
          <w:b/>
          <w:i/>
          <w:color w:val="000000"/>
        </w:rPr>
        <w:t xml:space="preserve">римечаний к отдельной финансовой отчетности за год, закончившийся 31 декабря </w:t>
      </w:r>
      <w:r w:rsidRPr="00FA47E0">
        <w:rPr>
          <w:rFonts w:ascii="Arial" w:hAnsi="Arial" w:cs="Arial"/>
          <w:b/>
          <w:i/>
          <w:color w:val="000000"/>
        </w:rPr>
        <w:t>201</w:t>
      </w:r>
      <w:r>
        <w:rPr>
          <w:rFonts w:ascii="Arial" w:hAnsi="Arial" w:cs="Arial"/>
          <w:b/>
          <w:i/>
          <w:color w:val="000000"/>
        </w:rPr>
        <w:t>2</w:t>
      </w:r>
      <w:r w:rsidRPr="00FA47E0">
        <w:rPr>
          <w:rFonts w:ascii="Arial" w:hAnsi="Arial" w:cs="Arial"/>
          <w:b/>
          <w:i/>
          <w:color w:val="000000"/>
        </w:rPr>
        <w:t xml:space="preserve"> год</w:t>
      </w:r>
      <w:r>
        <w:rPr>
          <w:rFonts w:ascii="Arial" w:hAnsi="Arial" w:cs="Arial"/>
          <w:b/>
          <w:i/>
          <w:color w:val="000000"/>
        </w:rPr>
        <w:t>а</w:t>
      </w:r>
      <w:r w:rsidRPr="00EC694D">
        <w:rPr>
          <w:b/>
          <w:color w:val="000000"/>
          <w:sz w:val="24"/>
          <w:szCs w:val="24"/>
        </w:rPr>
        <w:t>.</w:t>
      </w:r>
    </w:p>
    <w:p w:rsidR="007B6CF9" w:rsidRDefault="007B6CF9" w:rsidP="007B6CF9">
      <w:pPr>
        <w:pStyle w:val="ConsPlusNormal"/>
        <w:jc w:val="both"/>
        <w:rPr>
          <w:rFonts w:ascii="Times New Roman" w:hAnsi="Times New Roman" w:cs="Times New Roman"/>
        </w:rPr>
      </w:pPr>
    </w:p>
    <w:p w:rsidR="007B6CF9" w:rsidRPr="00C63312" w:rsidRDefault="007B6CF9" w:rsidP="007B6CF9">
      <w:pPr>
        <w:pStyle w:val="ConsPlusNormal"/>
        <w:ind w:firstLine="540"/>
        <w:jc w:val="both"/>
        <w:outlineLvl w:val="1"/>
        <w:rPr>
          <w:b/>
          <w:i/>
          <w:sz w:val="28"/>
          <w:szCs w:val="28"/>
        </w:rPr>
      </w:pPr>
      <w:bookmarkStart w:id="92" w:name="_Toc448251188"/>
      <w:r w:rsidRPr="00C63312">
        <w:rPr>
          <w:b/>
          <w:i/>
          <w:sz w:val="28"/>
          <w:szCs w:val="28"/>
        </w:rPr>
        <w:t>7.2. Промежуточная бухгалтерская (финансовая) отчетность эмитента</w:t>
      </w:r>
      <w:bookmarkEnd w:id="92"/>
    </w:p>
    <w:p w:rsidR="00A06BCF" w:rsidRDefault="00A06BCF" w:rsidP="007D7C2D">
      <w:pPr>
        <w:pStyle w:val="ConsPlusNormal"/>
        <w:ind w:firstLine="540"/>
        <w:jc w:val="both"/>
        <w:rPr>
          <w:rFonts w:ascii="Times New Roman" w:hAnsi="Times New Roman" w:cs="Times New Roman"/>
        </w:rPr>
      </w:pPr>
    </w:p>
    <w:p w:rsidR="007B6CF9" w:rsidRDefault="007B6CF9" w:rsidP="007D7C2D">
      <w:pPr>
        <w:pStyle w:val="ConsPlusNormal"/>
        <w:ind w:firstLine="540"/>
        <w:jc w:val="both"/>
        <w:rPr>
          <w:rFonts w:ascii="Times New Roman" w:hAnsi="Times New Roman" w:cs="Times New Roman"/>
        </w:rPr>
      </w:pPr>
      <w:r>
        <w:rPr>
          <w:rFonts w:ascii="Times New Roman" w:hAnsi="Times New Roman" w:cs="Times New Roman"/>
        </w:rPr>
        <w:t>Указывается состав промежуточной бухгалтерской (финансовой) отчетности эмитента, прилагаемой к проспекту ценных бумаг:</w:t>
      </w:r>
    </w:p>
    <w:p w:rsidR="007B6CF9" w:rsidRDefault="007B6CF9" w:rsidP="007D7C2D">
      <w:pPr>
        <w:pStyle w:val="ConsPlusNormal"/>
        <w:ind w:firstLine="540"/>
        <w:jc w:val="both"/>
        <w:rPr>
          <w:rFonts w:ascii="Times New Roman" w:hAnsi="Times New Roman" w:cs="Times New Roman"/>
        </w:rPr>
      </w:pPr>
      <w:r>
        <w:rPr>
          <w:rFonts w:ascii="Times New Roman" w:hAnsi="Times New Roman" w:cs="Times New Roman"/>
        </w:rPr>
        <w:t>а) промежуточная бухгалтерская (финансовая) отчетность эмитента за последний завершенный отчетный квартал (отчетный период, состоящий из трех, шести или девяти месяцев отчетного года), предшествующий дате утверждения проспекта ценных бумаг, составленная в соответствии с требованиями законодательства Российской Федерации, а если в отношении нее проведен аудит - вместе с соответствующим аудиторским заключением.</w:t>
      </w:r>
    </w:p>
    <w:p w:rsidR="00A06BCF" w:rsidRDefault="00A06BCF" w:rsidP="007D7C2D">
      <w:pPr>
        <w:ind w:firstLine="540"/>
        <w:jc w:val="both"/>
        <w:rPr>
          <w:rFonts w:ascii="Arial" w:hAnsi="Arial" w:cs="Arial"/>
          <w:b/>
          <w:i/>
        </w:rPr>
      </w:pPr>
    </w:p>
    <w:p w:rsidR="007B6CF9" w:rsidRPr="000F0D2B" w:rsidRDefault="007B6CF9" w:rsidP="007D7C2D">
      <w:pPr>
        <w:ind w:firstLine="540"/>
        <w:jc w:val="both"/>
        <w:rPr>
          <w:rFonts w:ascii="Arial" w:hAnsi="Arial" w:cs="Arial"/>
          <w:b/>
          <w:i/>
        </w:rPr>
      </w:pPr>
      <w:r>
        <w:rPr>
          <w:rFonts w:ascii="Arial" w:hAnsi="Arial" w:cs="Arial"/>
          <w:b/>
          <w:i/>
        </w:rPr>
        <w:t>Срок представления п</w:t>
      </w:r>
      <w:r w:rsidRPr="000F0D2B">
        <w:rPr>
          <w:rFonts w:ascii="Arial" w:hAnsi="Arial" w:cs="Arial"/>
          <w:b/>
          <w:i/>
        </w:rPr>
        <w:t>ромежуточн</w:t>
      </w:r>
      <w:r>
        <w:rPr>
          <w:rFonts w:ascii="Arial" w:hAnsi="Arial" w:cs="Arial"/>
          <w:b/>
          <w:i/>
        </w:rPr>
        <w:t>ой</w:t>
      </w:r>
      <w:r w:rsidRPr="000F0D2B">
        <w:rPr>
          <w:rFonts w:ascii="Arial" w:hAnsi="Arial" w:cs="Arial"/>
          <w:b/>
          <w:i/>
        </w:rPr>
        <w:t xml:space="preserve"> бухгалтерск</w:t>
      </w:r>
      <w:r>
        <w:rPr>
          <w:rFonts w:ascii="Arial" w:hAnsi="Arial" w:cs="Arial"/>
          <w:b/>
          <w:i/>
        </w:rPr>
        <w:t>ой</w:t>
      </w:r>
      <w:r w:rsidRPr="000F0D2B">
        <w:rPr>
          <w:rFonts w:ascii="Arial" w:hAnsi="Arial" w:cs="Arial"/>
          <w:b/>
          <w:i/>
        </w:rPr>
        <w:t xml:space="preserve"> (финансов</w:t>
      </w:r>
      <w:r>
        <w:rPr>
          <w:rFonts w:ascii="Arial" w:hAnsi="Arial" w:cs="Arial"/>
          <w:b/>
          <w:i/>
        </w:rPr>
        <w:t>ой</w:t>
      </w:r>
      <w:r w:rsidRPr="000F0D2B">
        <w:rPr>
          <w:rFonts w:ascii="Arial" w:hAnsi="Arial" w:cs="Arial"/>
          <w:b/>
          <w:i/>
        </w:rPr>
        <w:t>) отчетност</w:t>
      </w:r>
      <w:r>
        <w:rPr>
          <w:rFonts w:ascii="Arial" w:hAnsi="Arial" w:cs="Arial"/>
          <w:b/>
          <w:i/>
        </w:rPr>
        <w:t>и</w:t>
      </w:r>
      <w:r w:rsidRPr="000F0D2B">
        <w:rPr>
          <w:rFonts w:ascii="Arial" w:hAnsi="Arial" w:cs="Arial"/>
          <w:b/>
          <w:i/>
        </w:rPr>
        <w:t xml:space="preserve"> Эмитента за </w:t>
      </w:r>
      <w:r>
        <w:rPr>
          <w:rFonts w:ascii="Arial" w:hAnsi="Arial" w:cs="Arial"/>
          <w:b/>
          <w:i/>
        </w:rPr>
        <w:t xml:space="preserve">отчетный период, состоящий из трех месяцев отчетного года, предшествующий дате утверждения настоящего </w:t>
      </w:r>
      <w:r w:rsidR="00787E07">
        <w:rPr>
          <w:rFonts w:ascii="Arial" w:hAnsi="Arial" w:cs="Arial"/>
          <w:b/>
          <w:i/>
        </w:rPr>
        <w:t>П</w:t>
      </w:r>
      <w:r>
        <w:rPr>
          <w:rFonts w:ascii="Arial" w:hAnsi="Arial" w:cs="Arial"/>
          <w:b/>
          <w:i/>
        </w:rPr>
        <w:t>роспекта ценных, составленной в соответствии с требованиями законодательства Российской Федерации, не наступил</w:t>
      </w:r>
      <w:r w:rsidRPr="000F0D2B">
        <w:rPr>
          <w:rFonts w:ascii="Arial" w:hAnsi="Arial" w:cs="Arial"/>
          <w:b/>
          <w:i/>
        </w:rPr>
        <w:t>.</w:t>
      </w:r>
    </w:p>
    <w:p w:rsidR="007B6CF9" w:rsidRDefault="007B6CF9" w:rsidP="00EE2E12">
      <w:pPr>
        <w:pStyle w:val="ConsPlusNormal"/>
        <w:ind w:firstLine="540"/>
        <w:jc w:val="both"/>
        <w:rPr>
          <w:rFonts w:ascii="Times New Roman" w:hAnsi="Times New Roman" w:cs="Times New Roman"/>
        </w:rPr>
      </w:pPr>
    </w:p>
    <w:p w:rsidR="007B6CF9" w:rsidRDefault="007B6CF9" w:rsidP="00EE2E12">
      <w:pPr>
        <w:ind w:firstLine="540"/>
        <w:jc w:val="both"/>
      </w:pPr>
      <w:r>
        <w:t xml:space="preserve">б) при наличии у эмитента промежуточной финансовой отчетности, составленной в соответствии с Международными стандартами финансовой отчетности (МСФО) либо иными, отличными от МСФО, международно признанными правилами, дополнительно прилагается такая промежуточная финансовая отчетность эмитента, а если в отношении нее проведен аудит - вместе с соответствующим аудиторским заключением на русском языке за последний завершенный отчетный квартал (отчетный период, состоящий из трех, шести или девяти месяцев отчетного года), предшествующий дате утверждения проспекта ценных бумаг. </w:t>
      </w:r>
    </w:p>
    <w:p w:rsidR="007B6CF9" w:rsidRPr="0001486E" w:rsidRDefault="007B6CF9" w:rsidP="00EE2E12">
      <w:pPr>
        <w:ind w:firstLine="540"/>
        <w:jc w:val="both"/>
        <w:rPr>
          <w:rFonts w:ascii="Arial" w:hAnsi="Arial" w:cs="Arial"/>
          <w:b/>
          <w:i/>
        </w:rPr>
      </w:pPr>
      <w:r w:rsidRPr="0001486E">
        <w:rPr>
          <w:rFonts w:ascii="Arial" w:hAnsi="Arial" w:cs="Arial"/>
          <w:b/>
          <w:i/>
        </w:rPr>
        <w:t xml:space="preserve">У Эмитента отсутствует </w:t>
      </w:r>
      <w:r>
        <w:rPr>
          <w:rFonts w:ascii="Arial" w:hAnsi="Arial" w:cs="Arial"/>
          <w:b/>
          <w:i/>
        </w:rPr>
        <w:t>промежуточная</w:t>
      </w:r>
      <w:r w:rsidRPr="0001486E">
        <w:rPr>
          <w:rFonts w:ascii="Arial" w:hAnsi="Arial" w:cs="Arial"/>
          <w:b/>
          <w:i/>
        </w:rPr>
        <w:t xml:space="preserve"> </w:t>
      </w:r>
      <w:r>
        <w:rPr>
          <w:rFonts w:ascii="Arial" w:hAnsi="Arial" w:cs="Arial"/>
          <w:b/>
          <w:i/>
        </w:rPr>
        <w:t>финансовая</w:t>
      </w:r>
      <w:r w:rsidRPr="0001486E">
        <w:rPr>
          <w:rFonts w:ascii="Arial" w:hAnsi="Arial" w:cs="Arial"/>
          <w:b/>
          <w:i/>
        </w:rPr>
        <w:t xml:space="preserve"> отчетность</w:t>
      </w:r>
      <w:r>
        <w:rPr>
          <w:rFonts w:ascii="Arial" w:hAnsi="Arial" w:cs="Arial"/>
          <w:b/>
          <w:i/>
        </w:rPr>
        <w:t>, составленная</w:t>
      </w:r>
      <w:r w:rsidRPr="0001486E">
        <w:rPr>
          <w:rFonts w:ascii="Arial" w:hAnsi="Arial" w:cs="Arial"/>
          <w:b/>
          <w:i/>
        </w:rPr>
        <w:t xml:space="preserve"> в соответствии с Международными стандартами финансовой отчетности (МСФО) либо иными, отличными от МСФО, международн</w:t>
      </w:r>
      <w:r>
        <w:rPr>
          <w:rFonts w:ascii="Arial" w:hAnsi="Arial" w:cs="Arial"/>
          <w:b/>
          <w:i/>
        </w:rPr>
        <w:t>о-признанными правилами</w:t>
      </w:r>
      <w:r w:rsidRPr="0001486E">
        <w:rPr>
          <w:rFonts w:ascii="Arial" w:hAnsi="Arial" w:cs="Arial"/>
          <w:b/>
          <w:i/>
        </w:rPr>
        <w:t>.</w:t>
      </w:r>
    </w:p>
    <w:p w:rsidR="007B6CF9" w:rsidRDefault="007B6CF9" w:rsidP="007B6CF9">
      <w:pPr>
        <w:pStyle w:val="ConsPlusNormal"/>
        <w:ind w:firstLine="540"/>
        <w:jc w:val="both"/>
        <w:rPr>
          <w:rFonts w:ascii="Times New Roman" w:hAnsi="Times New Roman" w:cs="Times New Roman"/>
        </w:rPr>
      </w:pPr>
    </w:p>
    <w:p w:rsidR="007B6CF9" w:rsidRPr="00C63312" w:rsidRDefault="007B6CF9" w:rsidP="00C63312">
      <w:pPr>
        <w:pStyle w:val="ConsPlusNormal"/>
        <w:ind w:firstLine="540"/>
        <w:jc w:val="both"/>
        <w:outlineLvl w:val="1"/>
        <w:rPr>
          <w:b/>
          <w:i/>
          <w:sz w:val="28"/>
          <w:szCs w:val="28"/>
        </w:rPr>
      </w:pPr>
      <w:bookmarkStart w:id="93" w:name="_Toc448251189"/>
      <w:r w:rsidRPr="00C63312">
        <w:rPr>
          <w:b/>
          <w:i/>
          <w:sz w:val="28"/>
          <w:szCs w:val="28"/>
        </w:rPr>
        <w:t>7.3. Консолидированная финансовая отчетность эмитента</w:t>
      </w:r>
      <w:bookmarkEnd w:id="93"/>
    </w:p>
    <w:p w:rsidR="00A06BCF" w:rsidRDefault="00A06BCF" w:rsidP="007B6CF9">
      <w:pPr>
        <w:pStyle w:val="ConsPlusNormal"/>
        <w:ind w:firstLine="540"/>
        <w:jc w:val="both"/>
        <w:rPr>
          <w:rFonts w:ascii="Times New Roman" w:hAnsi="Times New Roman" w:cs="Times New Roman"/>
        </w:rPr>
      </w:pPr>
    </w:p>
    <w:p w:rsidR="007B6CF9" w:rsidRDefault="007B6CF9" w:rsidP="007B6CF9">
      <w:pPr>
        <w:pStyle w:val="ConsPlusNormal"/>
        <w:ind w:firstLine="540"/>
        <w:jc w:val="both"/>
        <w:rPr>
          <w:rFonts w:ascii="Times New Roman" w:hAnsi="Times New Roman" w:cs="Times New Roman"/>
        </w:rPr>
      </w:pPr>
      <w:r>
        <w:rPr>
          <w:rFonts w:ascii="Times New Roman" w:hAnsi="Times New Roman" w:cs="Times New Roman"/>
        </w:rPr>
        <w:t>Указывается состав консолидированной финансовой отчетности эмитента, прилагаемой к проспекту ценных бумаг:</w:t>
      </w:r>
    </w:p>
    <w:p w:rsidR="007B6CF9" w:rsidRDefault="007B6CF9" w:rsidP="007B6CF9">
      <w:pPr>
        <w:pStyle w:val="ConsPlusNormal"/>
        <w:ind w:firstLine="540"/>
        <w:jc w:val="both"/>
        <w:rPr>
          <w:rFonts w:ascii="Times New Roman" w:hAnsi="Times New Roman" w:cs="Times New Roman"/>
        </w:rPr>
      </w:pPr>
      <w:r>
        <w:rPr>
          <w:rFonts w:ascii="Times New Roman" w:hAnsi="Times New Roman" w:cs="Times New Roman"/>
        </w:rPr>
        <w:t xml:space="preserve">а) годовая консолидированная финансовая отчетность эмитента, в отношении которой истек установленный срок ее представления или составленная до истечения такого срока, за три последних завершенных отчетных года, предшествующих дате утверждения проспекта ценных бумаг, либо за каждый завершенный отчетный год, если эмитент осуществляет свою деятельность менее трех лет, составленная в соответствии с требованиями законодательства Российской Федерации, с приложенным аудиторским заключением в отношении указанной годовой консолидированной финансовой отчетности. При этом отдельно указываются стандарты (правила), в соответствии с которыми составлена такая годовая консолидированная финансовая отчетность. </w:t>
      </w:r>
    </w:p>
    <w:p w:rsidR="00A06BCF" w:rsidRDefault="00A06BCF" w:rsidP="00EE2E12">
      <w:pPr>
        <w:ind w:firstLine="540"/>
        <w:jc w:val="both"/>
        <w:rPr>
          <w:rFonts w:ascii="Arial" w:hAnsi="Arial" w:cs="Arial"/>
          <w:b/>
          <w:i/>
        </w:rPr>
      </w:pPr>
    </w:p>
    <w:p w:rsidR="007B6CF9" w:rsidRPr="00B50860" w:rsidRDefault="007B6CF9" w:rsidP="00EE2E12">
      <w:pPr>
        <w:ind w:firstLine="540"/>
        <w:jc w:val="both"/>
        <w:rPr>
          <w:rFonts w:ascii="Arial" w:hAnsi="Arial" w:cs="Arial"/>
          <w:b/>
          <w:i/>
        </w:rPr>
      </w:pPr>
      <w:r>
        <w:rPr>
          <w:rFonts w:ascii="Arial" w:hAnsi="Arial" w:cs="Arial"/>
          <w:b/>
          <w:i/>
        </w:rPr>
        <w:t>Годовая к</w:t>
      </w:r>
      <w:r w:rsidRPr="00B50860">
        <w:rPr>
          <w:rFonts w:ascii="Arial" w:hAnsi="Arial" w:cs="Arial"/>
          <w:b/>
          <w:i/>
        </w:rPr>
        <w:t>онсолидированная финансовая отчетность, составленная в соответствии с Международными стандартами финансовой отчетности (МСФО) за 201</w:t>
      </w:r>
      <w:r>
        <w:rPr>
          <w:rFonts w:ascii="Arial" w:hAnsi="Arial" w:cs="Arial"/>
          <w:b/>
          <w:i/>
        </w:rPr>
        <w:t>2</w:t>
      </w:r>
      <w:r w:rsidRPr="00B50860">
        <w:rPr>
          <w:rFonts w:ascii="Arial" w:hAnsi="Arial" w:cs="Arial"/>
          <w:b/>
          <w:i/>
        </w:rPr>
        <w:t>, 201</w:t>
      </w:r>
      <w:r>
        <w:rPr>
          <w:rFonts w:ascii="Arial" w:hAnsi="Arial" w:cs="Arial"/>
          <w:b/>
          <w:i/>
        </w:rPr>
        <w:t>3</w:t>
      </w:r>
      <w:r w:rsidRPr="00B50860">
        <w:rPr>
          <w:rFonts w:ascii="Arial" w:hAnsi="Arial" w:cs="Arial"/>
          <w:b/>
          <w:i/>
        </w:rPr>
        <w:t xml:space="preserve"> и 2014 г. при</w:t>
      </w:r>
      <w:r>
        <w:rPr>
          <w:rFonts w:ascii="Arial" w:hAnsi="Arial" w:cs="Arial"/>
          <w:b/>
          <w:i/>
        </w:rPr>
        <w:t>водится в Приложении №3</w:t>
      </w:r>
      <w:r w:rsidRPr="00B50860">
        <w:rPr>
          <w:rFonts w:ascii="Arial" w:hAnsi="Arial" w:cs="Arial"/>
          <w:b/>
          <w:i/>
        </w:rPr>
        <w:t xml:space="preserve"> к настоящему </w:t>
      </w:r>
      <w:r>
        <w:rPr>
          <w:rFonts w:ascii="Arial" w:hAnsi="Arial" w:cs="Arial"/>
          <w:b/>
          <w:i/>
        </w:rPr>
        <w:t>П</w:t>
      </w:r>
      <w:r w:rsidRPr="00B50860">
        <w:rPr>
          <w:rFonts w:ascii="Arial" w:hAnsi="Arial" w:cs="Arial"/>
          <w:b/>
          <w:i/>
        </w:rPr>
        <w:t>роспекту</w:t>
      </w:r>
      <w:r>
        <w:rPr>
          <w:rFonts w:ascii="Arial" w:hAnsi="Arial" w:cs="Arial"/>
          <w:b/>
          <w:i/>
        </w:rPr>
        <w:t xml:space="preserve"> ценных бумаг</w:t>
      </w:r>
      <w:r w:rsidRPr="00B50860">
        <w:rPr>
          <w:rFonts w:ascii="Arial" w:hAnsi="Arial" w:cs="Arial"/>
          <w:b/>
          <w:i/>
        </w:rPr>
        <w:t xml:space="preserve">. </w:t>
      </w:r>
    </w:p>
    <w:p w:rsidR="007B6CF9" w:rsidRPr="00E87B7C" w:rsidRDefault="007B6CF9" w:rsidP="007D7C2D">
      <w:pPr>
        <w:ind w:firstLine="567"/>
        <w:jc w:val="both"/>
        <w:rPr>
          <w:rFonts w:ascii="Arial" w:hAnsi="Arial" w:cs="Arial"/>
          <w:b/>
          <w:i/>
          <w:u w:val="single"/>
        </w:rPr>
      </w:pPr>
      <w:r>
        <w:rPr>
          <w:rFonts w:ascii="Arial" w:hAnsi="Arial" w:cs="Arial"/>
          <w:b/>
          <w:i/>
          <w:u w:val="single"/>
        </w:rPr>
        <w:t>К</w:t>
      </w:r>
      <w:r w:rsidRPr="00E87B7C">
        <w:rPr>
          <w:rFonts w:ascii="Arial" w:hAnsi="Arial" w:cs="Arial"/>
          <w:b/>
          <w:i/>
          <w:u w:val="single"/>
        </w:rPr>
        <w:t>онсолидированная финансовая отчетность Эмитента за 2012</w:t>
      </w:r>
      <w:r>
        <w:rPr>
          <w:rFonts w:ascii="Arial" w:hAnsi="Arial" w:cs="Arial"/>
          <w:b/>
          <w:i/>
          <w:u w:val="single"/>
        </w:rPr>
        <w:t xml:space="preserve"> год </w:t>
      </w:r>
      <w:r w:rsidRPr="00E87B7C">
        <w:rPr>
          <w:rFonts w:ascii="Arial" w:hAnsi="Arial" w:cs="Arial"/>
          <w:b/>
          <w:i/>
          <w:u w:val="single"/>
        </w:rPr>
        <w:t>состоит из:</w:t>
      </w:r>
    </w:p>
    <w:p w:rsidR="007B6CF9" w:rsidRPr="00A9235F"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sidRPr="00A9235F">
        <w:rPr>
          <w:rFonts w:ascii="Arial" w:hAnsi="Arial" w:cs="Arial"/>
          <w:b/>
          <w:i/>
          <w:color w:val="000000"/>
        </w:rPr>
        <w:t>заключения независимого аудитора;</w:t>
      </w:r>
    </w:p>
    <w:p w:rsidR="007B6CF9" w:rsidRPr="00A9235F"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sidRPr="00A9235F">
        <w:rPr>
          <w:rFonts w:ascii="Arial" w:hAnsi="Arial" w:cs="Arial"/>
          <w:b/>
          <w:i/>
          <w:color w:val="000000"/>
        </w:rPr>
        <w:t>консолидированного отчета о финансовом положении на 31 декабря 201</w:t>
      </w:r>
      <w:r>
        <w:rPr>
          <w:rFonts w:ascii="Arial" w:hAnsi="Arial" w:cs="Arial"/>
          <w:b/>
          <w:i/>
          <w:color w:val="000000"/>
        </w:rPr>
        <w:t>2</w:t>
      </w:r>
      <w:r w:rsidRPr="00A9235F">
        <w:rPr>
          <w:rFonts w:ascii="Arial" w:hAnsi="Arial" w:cs="Arial"/>
          <w:b/>
          <w:i/>
          <w:color w:val="000000"/>
        </w:rPr>
        <w:t xml:space="preserve"> года;</w:t>
      </w:r>
    </w:p>
    <w:p w:rsidR="007B6CF9" w:rsidRPr="00A9235F"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sidRPr="00A9235F">
        <w:rPr>
          <w:rFonts w:ascii="Arial" w:hAnsi="Arial" w:cs="Arial"/>
          <w:b/>
          <w:i/>
          <w:color w:val="000000"/>
        </w:rPr>
        <w:t>консолидированного отчета о совокупном доходе</w:t>
      </w:r>
      <w:r>
        <w:rPr>
          <w:rFonts w:ascii="Arial" w:hAnsi="Arial" w:cs="Arial"/>
          <w:b/>
          <w:i/>
          <w:color w:val="000000"/>
        </w:rPr>
        <w:t xml:space="preserve"> за 12 месяцев, закончившихся 31 декабря</w:t>
      </w:r>
      <w:r w:rsidRPr="00A9235F">
        <w:rPr>
          <w:rFonts w:ascii="Arial" w:hAnsi="Arial" w:cs="Arial"/>
          <w:b/>
          <w:i/>
          <w:color w:val="000000"/>
        </w:rPr>
        <w:t xml:space="preserve"> 201</w:t>
      </w:r>
      <w:r>
        <w:rPr>
          <w:rFonts w:ascii="Arial" w:hAnsi="Arial" w:cs="Arial"/>
          <w:b/>
          <w:i/>
          <w:color w:val="000000"/>
        </w:rPr>
        <w:t>2</w:t>
      </w:r>
      <w:r w:rsidRPr="00A9235F">
        <w:rPr>
          <w:rFonts w:ascii="Arial" w:hAnsi="Arial" w:cs="Arial"/>
          <w:b/>
          <w:i/>
          <w:color w:val="000000"/>
        </w:rPr>
        <w:t xml:space="preserve"> год</w:t>
      </w:r>
      <w:r>
        <w:rPr>
          <w:rFonts w:ascii="Arial" w:hAnsi="Arial" w:cs="Arial"/>
          <w:b/>
          <w:i/>
          <w:color w:val="000000"/>
        </w:rPr>
        <w:t>а</w:t>
      </w:r>
      <w:r w:rsidRPr="00A9235F">
        <w:rPr>
          <w:rFonts w:ascii="Arial" w:hAnsi="Arial" w:cs="Arial"/>
          <w:b/>
          <w:i/>
          <w:color w:val="000000"/>
        </w:rPr>
        <w:t>;</w:t>
      </w:r>
    </w:p>
    <w:p w:rsidR="007B6CF9" w:rsidRPr="00A9235F"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sidRPr="00A9235F">
        <w:rPr>
          <w:rFonts w:ascii="Arial" w:hAnsi="Arial" w:cs="Arial"/>
          <w:b/>
          <w:i/>
          <w:color w:val="000000"/>
        </w:rPr>
        <w:t xml:space="preserve">консолидированного отчета о движении денежных средств </w:t>
      </w:r>
      <w:r>
        <w:rPr>
          <w:rFonts w:ascii="Arial" w:hAnsi="Arial" w:cs="Arial"/>
          <w:b/>
          <w:i/>
          <w:color w:val="000000"/>
        </w:rPr>
        <w:t>за 12 месяцев, закончившихся 31 декабря</w:t>
      </w:r>
      <w:r w:rsidRPr="00A9235F">
        <w:rPr>
          <w:rFonts w:ascii="Arial" w:hAnsi="Arial" w:cs="Arial"/>
          <w:b/>
          <w:i/>
          <w:color w:val="000000"/>
        </w:rPr>
        <w:t xml:space="preserve"> 201</w:t>
      </w:r>
      <w:r>
        <w:rPr>
          <w:rFonts w:ascii="Arial" w:hAnsi="Arial" w:cs="Arial"/>
          <w:b/>
          <w:i/>
          <w:color w:val="000000"/>
        </w:rPr>
        <w:t>2</w:t>
      </w:r>
      <w:r w:rsidRPr="00A9235F">
        <w:rPr>
          <w:rFonts w:ascii="Arial" w:hAnsi="Arial" w:cs="Arial"/>
          <w:b/>
          <w:i/>
          <w:color w:val="000000"/>
        </w:rPr>
        <w:t xml:space="preserve"> год</w:t>
      </w:r>
      <w:r>
        <w:rPr>
          <w:rFonts w:ascii="Arial" w:hAnsi="Arial" w:cs="Arial"/>
          <w:b/>
          <w:i/>
          <w:color w:val="000000"/>
        </w:rPr>
        <w:t>а</w:t>
      </w:r>
      <w:r w:rsidRPr="00A9235F">
        <w:rPr>
          <w:rFonts w:ascii="Arial" w:hAnsi="Arial" w:cs="Arial"/>
          <w:b/>
          <w:i/>
          <w:color w:val="000000"/>
        </w:rPr>
        <w:t>;</w:t>
      </w:r>
    </w:p>
    <w:p w:rsidR="007B6CF9" w:rsidRPr="00A9235F"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sidRPr="00A9235F">
        <w:rPr>
          <w:rFonts w:ascii="Arial" w:hAnsi="Arial" w:cs="Arial"/>
          <w:b/>
          <w:i/>
          <w:color w:val="000000"/>
        </w:rPr>
        <w:t xml:space="preserve">консолидированного отчета об изменениях в </w:t>
      </w:r>
      <w:r>
        <w:rPr>
          <w:rFonts w:ascii="Arial" w:hAnsi="Arial" w:cs="Arial"/>
          <w:b/>
          <w:i/>
          <w:color w:val="000000"/>
        </w:rPr>
        <w:t xml:space="preserve">собственном </w:t>
      </w:r>
      <w:r w:rsidRPr="00A9235F">
        <w:rPr>
          <w:rFonts w:ascii="Arial" w:hAnsi="Arial" w:cs="Arial"/>
          <w:b/>
          <w:i/>
          <w:color w:val="000000"/>
        </w:rPr>
        <w:t xml:space="preserve">капитале </w:t>
      </w:r>
      <w:r>
        <w:rPr>
          <w:rFonts w:ascii="Arial" w:hAnsi="Arial" w:cs="Arial"/>
          <w:b/>
          <w:i/>
          <w:color w:val="000000"/>
        </w:rPr>
        <w:t>за 12 месяцев, закончившихся 31 декабря</w:t>
      </w:r>
      <w:r w:rsidRPr="00A9235F">
        <w:rPr>
          <w:rFonts w:ascii="Arial" w:hAnsi="Arial" w:cs="Arial"/>
          <w:b/>
          <w:i/>
          <w:color w:val="000000"/>
        </w:rPr>
        <w:t xml:space="preserve"> 201</w:t>
      </w:r>
      <w:r>
        <w:rPr>
          <w:rFonts w:ascii="Arial" w:hAnsi="Arial" w:cs="Arial"/>
          <w:b/>
          <w:i/>
          <w:color w:val="000000"/>
        </w:rPr>
        <w:t>2</w:t>
      </w:r>
      <w:r w:rsidRPr="00A9235F">
        <w:rPr>
          <w:rFonts w:ascii="Arial" w:hAnsi="Arial" w:cs="Arial"/>
          <w:b/>
          <w:i/>
          <w:color w:val="000000"/>
        </w:rPr>
        <w:t xml:space="preserve"> год</w:t>
      </w:r>
      <w:r>
        <w:rPr>
          <w:rFonts w:ascii="Arial" w:hAnsi="Arial" w:cs="Arial"/>
          <w:b/>
          <w:i/>
          <w:color w:val="000000"/>
        </w:rPr>
        <w:t>а</w:t>
      </w:r>
      <w:r w:rsidRPr="00A9235F">
        <w:rPr>
          <w:rFonts w:ascii="Arial" w:hAnsi="Arial" w:cs="Arial"/>
          <w:b/>
          <w:i/>
          <w:color w:val="000000"/>
        </w:rPr>
        <w:t>;</w:t>
      </w:r>
    </w:p>
    <w:p w:rsidR="007B6CF9"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sidRPr="00A9235F">
        <w:rPr>
          <w:rFonts w:ascii="Arial" w:hAnsi="Arial" w:cs="Arial"/>
          <w:b/>
          <w:i/>
          <w:color w:val="000000"/>
        </w:rPr>
        <w:t xml:space="preserve">пояснений к консолидированной финансовой отчетности </w:t>
      </w:r>
      <w:r>
        <w:rPr>
          <w:rFonts w:ascii="Arial" w:hAnsi="Arial" w:cs="Arial"/>
          <w:b/>
          <w:i/>
          <w:color w:val="000000"/>
        </w:rPr>
        <w:t>за 12 месяцев, закончившихся 31 декабря</w:t>
      </w:r>
      <w:r w:rsidRPr="00A9235F">
        <w:rPr>
          <w:rFonts w:ascii="Arial" w:hAnsi="Arial" w:cs="Arial"/>
          <w:b/>
          <w:i/>
          <w:color w:val="000000"/>
        </w:rPr>
        <w:t xml:space="preserve"> 201</w:t>
      </w:r>
      <w:r>
        <w:rPr>
          <w:rFonts w:ascii="Arial" w:hAnsi="Arial" w:cs="Arial"/>
          <w:b/>
          <w:i/>
          <w:color w:val="000000"/>
        </w:rPr>
        <w:t>2</w:t>
      </w:r>
      <w:r w:rsidRPr="00A9235F">
        <w:rPr>
          <w:rFonts w:ascii="Arial" w:hAnsi="Arial" w:cs="Arial"/>
          <w:b/>
          <w:i/>
          <w:color w:val="000000"/>
        </w:rPr>
        <w:t xml:space="preserve"> год</w:t>
      </w:r>
      <w:r>
        <w:rPr>
          <w:rFonts w:ascii="Arial" w:hAnsi="Arial" w:cs="Arial"/>
          <w:b/>
          <w:i/>
          <w:color w:val="000000"/>
        </w:rPr>
        <w:t>а</w:t>
      </w:r>
      <w:r w:rsidRPr="00A9235F">
        <w:rPr>
          <w:rFonts w:ascii="Arial" w:hAnsi="Arial" w:cs="Arial"/>
          <w:b/>
          <w:i/>
          <w:color w:val="000000"/>
        </w:rPr>
        <w:t>.</w:t>
      </w:r>
    </w:p>
    <w:p w:rsidR="007B6CF9" w:rsidRDefault="007B6CF9" w:rsidP="007D7C2D">
      <w:pPr>
        <w:ind w:firstLine="567"/>
        <w:jc w:val="both"/>
        <w:rPr>
          <w:rFonts w:ascii="Arial" w:hAnsi="Arial" w:cs="Arial"/>
          <w:b/>
          <w:i/>
          <w:color w:val="000000"/>
        </w:rPr>
      </w:pPr>
    </w:p>
    <w:p w:rsidR="007B6CF9" w:rsidRPr="00E87B7C" w:rsidRDefault="007B6CF9" w:rsidP="007D7C2D">
      <w:pPr>
        <w:ind w:firstLine="567"/>
        <w:jc w:val="both"/>
        <w:rPr>
          <w:rFonts w:ascii="Arial" w:hAnsi="Arial" w:cs="Arial"/>
          <w:b/>
          <w:i/>
          <w:u w:val="single"/>
        </w:rPr>
      </w:pPr>
      <w:r>
        <w:rPr>
          <w:rFonts w:ascii="Arial" w:hAnsi="Arial" w:cs="Arial"/>
          <w:b/>
          <w:i/>
          <w:u w:val="single"/>
        </w:rPr>
        <w:t>К</w:t>
      </w:r>
      <w:r w:rsidRPr="00E87B7C">
        <w:rPr>
          <w:rFonts w:ascii="Arial" w:hAnsi="Arial" w:cs="Arial"/>
          <w:b/>
          <w:i/>
          <w:u w:val="single"/>
        </w:rPr>
        <w:t>онсолидированная финансовая отчетность Эмитента за 201</w:t>
      </w:r>
      <w:r>
        <w:rPr>
          <w:rFonts w:ascii="Arial" w:hAnsi="Arial" w:cs="Arial"/>
          <w:b/>
          <w:i/>
          <w:u w:val="single"/>
        </w:rPr>
        <w:t xml:space="preserve">3 год </w:t>
      </w:r>
      <w:r w:rsidRPr="00E87B7C">
        <w:rPr>
          <w:rFonts w:ascii="Arial" w:hAnsi="Arial" w:cs="Arial"/>
          <w:b/>
          <w:i/>
          <w:u w:val="single"/>
        </w:rPr>
        <w:t>состоит из:</w:t>
      </w:r>
    </w:p>
    <w:p w:rsidR="007B6CF9" w:rsidRPr="00A9235F"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sidRPr="00A9235F">
        <w:rPr>
          <w:rFonts w:ascii="Arial" w:hAnsi="Arial" w:cs="Arial"/>
          <w:b/>
          <w:i/>
          <w:color w:val="000000"/>
        </w:rPr>
        <w:t>заключения независимого аудитора;</w:t>
      </w:r>
    </w:p>
    <w:p w:rsidR="007B6CF9" w:rsidRPr="00A9235F"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sidRPr="00A9235F">
        <w:rPr>
          <w:rFonts w:ascii="Arial" w:hAnsi="Arial" w:cs="Arial"/>
          <w:b/>
          <w:i/>
          <w:color w:val="000000"/>
        </w:rPr>
        <w:t>консолидированного отчета о финансовом положении на 31 декабря 201</w:t>
      </w:r>
      <w:r>
        <w:rPr>
          <w:rFonts w:ascii="Arial" w:hAnsi="Arial" w:cs="Arial"/>
          <w:b/>
          <w:i/>
          <w:color w:val="000000"/>
        </w:rPr>
        <w:t>3</w:t>
      </w:r>
      <w:r w:rsidRPr="00A9235F">
        <w:rPr>
          <w:rFonts w:ascii="Arial" w:hAnsi="Arial" w:cs="Arial"/>
          <w:b/>
          <w:i/>
          <w:color w:val="000000"/>
        </w:rPr>
        <w:t xml:space="preserve"> года;</w:t>
      </w:r>
    </w:p>
    <w:p w:rsidR="007B6CF9" w:rsidRPr="00A9235F"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sidRPr="00A9235F">
        <w:rPr>
          <w:rFonts w:ascii="Arial" w:hAnsi="Arial" w:cs="Arial"/>
          <w:b/>
          <w:i/>
          <w:color w:val="000000"/>
        </w:rPr>
        <w:t>консолидированного отчета о совокупном доходе</w:t>
      </w:r>
      <w:r>
        <w:rPr>
          <w:rFonts w:ascii="Arial" w:hAnsi="Arial" w:cs="Arial"/>
          <w:b/>
          <w:i/>
          <w:color w:val="000000"/>
        </w:rPr>
        <w:t xml:space="preserve"> за 12 месяцев, закончившихся 31 декабря</w:t>
      </w:r>
      <w:r w:rsidRPr="00A9235F">
        <w:rPr>
          <w:rFonts w:ascii="Arial" w:hAnsi="Arial" w:cs="Arial"/>
          <w:b/>
          <w:i/>
          <w:color w:val="000000"/>
        </w:rPr>
        <w:t xml:space="preserve"> 201</w:t>
      </w:r>
      <w:r>
        <w:rPr>
          <w:rFonts w:ascii="Arial" w:hAnsi="Arial" w:cs="Arial"/>
          <w:b/>
          <w:i/>
          <w:color w:val="000000"/>
        </w:rPr>
        <w:t>3</w:t>
      </w:r>
      <w:r w:rsidRPr="00A9235F">
        <w:rPr>
          <w:rFonts w:ascii="Arial" w:hAnsi="Arial" w:cs="Arial"/>
          <w:b/>
          <w:i/>
          <w:color w:val="000000"/>
        </w:rPr>
        <w:t xml:space="preserve"> год</w:t>
      </w:r>
      <w:r>
        <w:rPr>
          <w:rFonts w:ascii="Arial" w:hAnsi="Arial" w:cs="Arial"/>
          <w:b/>
          <w:i/>
          <w:color w:val="000000"/>
        </w:rPr>
        <w:t>а</w:t>
      </w:r>
      <w:r w:rsidRPr="00A9235F">
        <w:rPr>
          <w:rFonts w:ascii="Arial" w:hAnsi="Arial" w:cs="Arial"/>
          <w:b/>
          <w:i/>
          <w:color w:val="000000"/>
        </w:rPr>
        <w:t>;</w:t>
      </w:r>
    </w:p>
    <w:p w:rsidR="007B6CF9" w:rsidRPr="00A9235F"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sidRPr="00A9235F">
        <w:rPr>
          <w:rFonts w:ascii="Arial" w:hAnsi="Arial" w:cs="Arial"/>
          <w:b/>
          <w:i/>
          <w:color w:val="000000"/>
        </w:rPr>
        <w:t xml:space="preserve">консолидированного отчета о движении денежных средств </w:t>
      </w:r>
      <w:r>
        <w:rPr>
          <w:rFonts w:ascii="Arial" w:hAnsi="Arial" w:cs="Arial"/>
          <w:b/>
          <w:i/>
          <w:color w:val="000000"/>
        </w:rPr>
        <w:t>за 12 месяцев, закончившихся 31 декабря</w:t>
      </w:r>
      <w:r w:rsidRPr="00A9235F">
        <w:rPr>
          <w:rFonts w:ascii="Arial" w:hAnsi="Arial" w:cs="Arial"/>
          <w:b/>
          <w:i/>
          <w:color w:val="000000"/>
        </w:rPr>
        <w:t xml:space="preserve"> 201</w:t>
      </w:r>
      <w:r>
        <w:rPr>
          <w:rFonts w:ascii="Arial" w:hAnsi="Arial" w:cs="Arial"/>
          <w:b/>
          <w:i/>
          <w:color w:val="000000"/>
        </w:rPr>
        <w:t>3</w:t>
      </w:r>
      <w:r w:rsidRPr="00A9235F">
        <w:rPr>
          <w:rFonts w:ascii="Arial" w:hAnsi="Arial" w:cs="Arial"/>
          <w:b/>
          <w:i/>
          <w:color w:val="000000"/>
        </w:rPr>
        <w:t xml:space="preserve"> год</w:t>
      </w:r>
      <w:r>
        <w:rPr>
          <w:rFonts w:ascii="Arial" w:hAnsi="Arial" w:cs="Arial"/>
          <w:b/>
          <w:i/>
          <w:color w:val="000000"/>
        </w:rPr>
        <w:t>а</w:t>
      </w:r>
      <w:r w:rsidRPr="00A9235F">
        <w:rPr>
          <w:rFonts w:ascii="Arial" w:hAnsi="Arial" w:cs="Arial"/>
          <w:b/>
          <w:i/>
          <w:color w:val="000000"/>
        </w:rPr>
        <w:t>;</w:t>
      </w:r>
    </w:p>
    <w:p w:rsidR="007B6CF9" w:rsidRPr="00A9235F"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sidRPr="00A9235F">
        <w:rPr>
          <w:rFonts w:ascii="Arial" w:hAnsi="Arial" w:cs="Arial"/>
          <w:b/>
          <w:i/>
          <w:color w:val="000000"/>
        </w:rPr>
        <w:t xml:space="preserve">консолидированного отчета об изменениях в </w:t>
      </w:r>
      <w:r>
        <w:rPr>
          <w:rFonts w:ascii="Arial" w:hAnsi="Arial" w:cs="Arial"/>
          <w:b/>
          <w:i/>
          <w:color w:val="000000"/>
        </w:rPr>
        <w:t xml:space="preserve">собственном </w:t>
      </w:r>
      <w:r w:rsidRPr="00A9235F">
        <w:rPr>
          <w:rFonts w:ascii="Arial" w:hAnsi="Arial" w:cs="Arial"/>
          <w:b/>
          <w:i/>
          <w:color w:val="000000"/>
        </w:rPr>
        <w:t xml:space="preserve">капитале </w:t>
      </w:r>
      <w:r>
        <w:rPr>
          <w:rFonts w:ascii="Arial" w:hAnsi="Arial" w:cs="Arial"/>
          <w:b/>
          <w:i/>
          <w:color w:val="000000"/>
        </w:rPr>
        <w:t>за 12 месяцев, закончившихся 31 декабря</w:t>
      </w:r>
      <w:r w:rsidRPr="00A9235F">
        <w:rPr>
          <w:rFonts w:ascii="Arial" w:hAnsi="Arial" w:cs="Arial"/>
          <w:b/>
          <w:i/>
          <w:color w:val="000000"/>
        </w:rPr>
        <w:t xml:space="preserve"> 201</w:t>
      </w:r>
      <w:r>
        <w:rPr>
          <w:rFonts w:ascii="Arial" w:hAnsi="Arial" w:cs="Arial"/>
          <w:b/>
          <w:i/>
          <w:color w:val="000000"/>
        </w:rPr>
        <w:t>3</w:t>
      </w:r>
      <w:r w:rsidRPr="00A9235F">
        <w:rPr>
          <w:rFonts w:ascii="Arial" w:hAnsi="Arial" w:cs="Arial"/>
          <w:b/>
          <w:i/>
          <w:color w:val="000000"/>
        </w:rPr>
        <w:t xml:space="preserve"> год</w:t>
      </w:r>
      <w:r>
        <w:rPr>
          <w:rFonts w:ascii="Arial" w:hAnsi="Arial" w:cs="Arial"/>
          <w:b/>
          <w:i/>
          <w:color w:val="000000"/>
        </w:rPr>
        <w:t>а</w:t>
      </w:r>
      <w:r w:rsidRPr="00A9235F">
        <w:rPr>
          <w:rFonts w:ascii="Arial" w:hAnsi="Arial" w:cs="Arial"/>
          <w:b/>
          <w:i/>
          <w:color w:val="000000"/>
        </w:rPr>
        <w:t>;</w:t>
      </w:r>
    </w:p>
    <w:p w:rsidR="007B6CF9" w:rsidRDefault="007B6CF9" w:rsidP="007D7C2D">
      <w:pPr>
        <w:ind w:firstLine="567"/>
        <w:jc w:val="both"/>
        <w:rPr>
          <w:rFonts w:ascii="Arial" w:hAnsi="Arial" w:cs="Arial"/>
          <w:b/>
          <w:i/>
          <w:color w:val="000000"/>
        </w:rPr>
      </w:pPr>
      <w:r w:rsidRPr="00A9235F">
        <w:rPr>
          <w:rFonts w:ascii="Arial" w:hAnsi="Arial" w:cs="Arial"/>
          <w:b/>
          <w:i/>
          <w:color w:val="000000"/>
        </w:rPr>
        <w:t xml:space="preserve">пояснений к консолидированной финансовой отчетности </w:t>
      </w:r>
      <w:r>
        <w:rPr>
          <w:rFonts w:ascii="Arial" w:hAnsi="Arial" w:cs="Arial"/>
          <w:b/>
          <w:i/>
          <w:color w:val="000000"/>
        </w:rPr>
        <w:t>за 12 месяцев, закончившихся 31 декабря</w:t>
      </w:r>
      <w:r w:rsidRPr="00A9235F">
        <w:rPr>
          <w:rFonts w:ascii="Arial" w:hAnsi="Arial" w:cs="Arial"/>
          <w:b/>
          <w:i/>
          <w:color w:val="000000"/>
        </w:rPr>
        <w:t xml:space="preserve"> 201</w:t>
      </w:r>
      <w:r>
        <w:rPr>
          <w:rFonts w:ascii="Arial" w:hAnsi="Arial" w:cs="Arial"/>
          <w:b/>
          <w:i/>
          <w:color w:val="000000"/>
        </w:rPr>
        <w:t xml:space="preserve">3 </w:t>
      </w:r>
      <w:r w:rsidRPr="00A9235F">
        <w:rPr>
          <w:rFonts w:ascii="Arial" w:hAnsi="Arial" w:cs="Arial"/>
          <w:b/>
          <w:i/>
          <w:color w:val="000000"/>
        </w:rPr>
        <w:t>год</w:t>
      </w:r>
      <w:r>
        <w:rPr>
          <w:rFonts w:ascii="Arial" w:hAnsi="Arial" w:cs="Arial"/>
          <w:b/>
          <w:i/>
          <w:color w:val="000000"/>
        </w:rPr>
        <w:t>а</w:t>
      </w:r>
      <w:r w:rsidRPr="00A9235F">
        <w:rPr>
          <w:rFonts w:ascii="Arial" w:hAnsi="Arial" w:cs="Arial"/>
          <w:b/>
          <w:i/>
          <w:color w:val="000000"/>
        </w:rPr>
        <w:t>.</w:t>
      </w:r>
    </w:p>
    <w:p w:rsidR="007B6CF9" w:rsidRDefault="007B6CF9" w:rsidP="007D7C2D">
      <w:pPr>
        <w:ind w:firstLine="567"/>
        <w:jc w:val="both"/>
        <w:rPr>
          <w:rFonts w:ascii="Arial" w:hAnsi="Arial" w:cs="Arial"/>
          <w:b/>
          <w:i/>
          <w:color w:val="000000"/>
        </w:rPr>
      </w:pPr>
    </w:p>
    <w:p w:rsidR="007B6CF9" w:rsidRPr="00E87B7C" w:rsidRDefault="007B6CF9" w:rsidP="007D7C2D">
      <w:pPr>
        <w:ind w:firstLine="567"/>
        <w:jc w:val="both"/>
        <w:rPr>
          <w:rFonts w:ascii="Arial" w:hAnsi="Arial" w:cs="Arial"/>
          <w:b/>
          <w:i/>
          <w:u w:val="single"/>
        </w:rPr>
      </w:pPr>
      <w:r>
        <w:rPr>
          <w:rFonts w:ascii="Arial" w:hAnsi="Arial" w:cs="Arial"/>
          <w:b/>
          <w:i/>
          <w:u w:val="single"/>
        </w:rPr>
        <w:t>К</w:t>
      </w:r>
      <w:r w:rsidRPr="00E87B7C">
        <w:rPr>
          <w:rFonts w:ascii="Arial" w:hAnsi="Arial" w:cs="Arial"/>
          <w:b/>
          <w:i/>
          <w:u w:val="single"/>
        </w:rPr>
        <w:t>онсолидированная финансовая отчетность Эмитента за 201</w:t>
      </w:r>
      <w:r>
        <w:rPr>
          <w:rFonts w:ascii="Arial" w:hAnsi="Arial" w:cs="Arial"/>
          <w:b/>
          <w:i/>
          <w:u w:val="single"/>
        </w:rPr>
        <w:t xml:space="preserve">4 год </w:t>
      </w:r>
      <w:r w:rsidRPr="00E87B7C">
        <w:rPr>
          <w:rFonts w:ascii="Arial" w:hAnsi="Arial" w:cs="Arial"/>
          <w:b/>
          <w:i/>
          <w:u w:val="single"/>
        </w:rPr>
        <w:t>состоит из:</w:t>
      </w:r>
    </w:p>
    <w:p w:rsidR="007B6CF9" w:rsidRPr="00A9235F"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sidRPr="00A9235F">
        <w:rPr>
          <w:rFonts w:ascii="Arial" w:hAnsi="Arial" w:cs="Arial"/>
          <w:b/>
          <w:i/>
          <w:color w:val="000000"/>
        </w:rPr>
        <w:t>аудитор</w:t>
      </w:r>
      <w:r>
        <w:rPr>
          <w:rFonts w:ascii="Arial" w:hAnsi="Arial" w:cs="Arial"/>
          <w:b/>
          <w:i/>
          <w:color w:val="000000"/>
        </w:rPr>
        <w:t>ского заключения</w:t>
      </w:r>
      <w:r w:rsidRPr="00A9235F">
        <w:rPr>
          <w:rFonts w:ascii="Arial" w:hAnsi="Arial" w:cs="Arial"/>
          <w:b/>
          <w:i/>
          <w:color w:val="000000"/>
        </w:rPr>
        <w:t>;</w:t>
      </w:r>
    </w:p>
    <w:p w:rsidR="007B6CF9" w:rsidRPr="00A9235F"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sidRPr="00A9235F">
        <w:rPr>
          <w:rFonts w:ascii="Arial" w:hAnsi="Arial" w:cs="Arial"/>
          <w:b/>
          <w:i/>
          <w:color w:val="000000"/>
        </w:rPr>
        <w:t xml:space="preserve">консолидированного отчета о </w:t>
      </w:r>
      <w:r>
        <w:rPr>
          <w:rFonts w:ascii="Arial" w:hAnsi="Arial" w:cs="Arial"/>
          <w:b/>
          <w:i/>
          <w:color w:val="000000"/>
        </w:rPr>
        <w:t>прибыли или убытке и прочем совокупном доходе за год, закончившийся</w:t>
      </w:r>
      <w:r w:rsidRPr="00A9235F">
        <w:rPr>
          <w:rFonts w:ascii="Arial" w:hAnsi="Arial" w:cs="Arial"/>
          <w:b/>
          <w:i/>
          <w:color w:val="000000"/>
        </w:rPr>
        <w:t xml:space="preserve"> 31 декабря 201</w:t>
      </w:r>
      <w:r>
        <w:rPr>
          <w:rFonts w:ascii="Arial" w:hAnsi="Arial" w:cs="Arial"/>
          <w:b/>
          <w:i/>
          <w:color w:val="000000"/>
        </w:rPr>
        <w:t>4</w:t>
      </w:r>
      <w:r w:rsidRPr="00A9235F">
        <w:rPr>
          <w:rFonts w:ascii="Arial" w:hAnsi="Arial" w:cs="Arial"/>
          <w:b/>
          <w:i/>
          <w:color w:val="000000"/>
        </w:rPr>
        <w:t xml:space="preserve"> года;</w:t>
      </w:r>
    </w:p>
    <w:p w:rsidR="007B6CF9"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sidRPr="00A9235F">
        <w:rPr>
          <w:rFonts w:ascii="Arial" w:hAnsi="Arial" w:cs="Arial"/>
          <w:b/>
          <w:i/>
          <w:color w:val="000000"/>
        </w:rPr>
        <w:t xml:space="preserve">консолидированного отчета о </w:t>
      </w:r>
      <w:r>
        <w:rPr>
          <w:rFonts w:ascii="Arial" w:hAnsi="Arial" w:cs="Arial"/>
          <w:b/>
          <w:i/>
          <w:color w:val="000000"/>
        </w:rPr>
        <w:t>финансовом положении по состоянию на 31 декабря 2014 года</w:t>
      </w:r>
      <w:r w:rsidRPr="00A9235F">
        <w:rPr>
          <w:rFonts w:ascii="Arial" w:hAnsi="Arial" w:cs="Arial"/>
          <w:b/>
          <w:i/>
          <w:color w:val="000000"/>
        </w:rPr>
        <w:t>;</w:t>
      </w:r>
      <w:r w:rsidRPr="0017490D">
        <w:rPr>
          <w:rFonts w:ascii="Arial" w:hAnsi="Arial" w:cs="Arial"/>
          <w:b/>
          <w:i/>
          <w:color w:val="000000"/>
        </w:rPr>
        <w:t xml:space="preserve"> </w:t>
      </w:r>
    </w:p>
    <w:p w:rsidR="007B6CF9" w:rsidRPr="00A9235F"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sidRPr="00A9235F">
        <w:rPr>
          <w:rFonts w:ascii="Arial" w:hAnsi="Arial" w:cs="Arial"/>
          <w:b/>
          <w:i/>
          <w:color w:val="000000"/>
        </w:rPr>
        <w:t xml:space="preserve">консолидированного отчета об изменениях в </w:t>
      </w:r>
      <w:r>
        <w:rPr>
          <w:rFonts w:ascii="Arial" w:hAnsi="Arial" w:cs="Arial"/>
          <w:b/>
          <w:i/>
          <w:color w:val="000000"/>
        </w:rPr>
        <w:t xml:space="preserve">собственном </w:t>
      </w:r>
      <w:r w:rsidRPr="00A9235F">
        <w:rPr>
          <w:rFonts w:ascii="Arial" w:hAnsi="Arial" w:cs="Arial"/>
          <w:b/>
          <w:i/>
          <w:color w:val="000000"/>
        </w:rPr>
        <w:t xml:space="preserve">капитале </w:t>
      </w:r>
      <w:r>
        <w:rPr>
          <w:rFonts w:ascii="Arial" w:hAnsi="Arial" w:cs="Arial"/>
          <w:b/>
          <w:i/>
          <w:color w:val="000000"/>
        </w:rPr>
        <w:t>за год, закончившийся</w:t>
      </w:r>
      <w:r w:rsidRPr="00A9235F">
        <w:rPr>
          <w:rFonts w:ascii="Arial" w:hAnsi="Arial" w:cs="Arial"/>
          <w:b/>
          <w:i/>
          <w:color w:val="000000"/>
        </w:rPr>
        <w:t xml:space="preserve"> 31 декабря 201</w:t>
      </w:r>
      <w:r>
        <w:rPr>
          <w:rFonts w:ascii="Arial" w:hAnsi="Arial" w:cs="Arial"/>
          <w:b/>
          <w:i/>
          <w:color w:val="000000"/>
        </w:rPr>
        <w:t>4</w:t>
      </w:r>
      <w:r w:rsidRPr="00A9235F">
        <w:rPr>
          <w:rFonts w:ascii="Arial" w:hAnsi="Arial" w:cs="Arial"/>
          <w:b/>
          <w:i/>
          <w:color w:val="000000"/>
        </w:rPr>
        <w:t xml:space="preserve"> года;</w:t>
      </w:r>
    </w:p>
    <w:p w:rsidR="007B6CF9" w:rsidRPr="00A9235F"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sidRPr="00A9235F">
        <w:rPr>
          <w:rFonts w:ascii="Arial" w:hAnsi="Arial" w:cs="Arial"/>
          <w:b/>
          <w:i/>
          <w:color w:val="000000"/>
        </w:rPr>
        <w:t xml:space="preserve">консолидированного отчета о движении денежных средств </w:t>
      </w:r>
      <w:r>
        <w:rPr>
          <w:rFonts w:ascii="Arial" w:hAnsi="Arial" w:cs="Arial"/>
          <w:b/>
          <w:i/>
          <w:color w:val="000000"/>
        </w:rPr>
        <w:t>за год, закончившийся</w:t>
      </w:r>
      <w:r w:rsidRPr="00A9235F">
        <w:rPr>
          <w:rFonts w:ascii="Arial" w:hAnsi="Arial" w:cs="Arial"/>
          <w:b/>
          <w:i/>
          <w:color w:val="000000"/>
        </w:rPr>
        <w:t xml:space="preserve"> 31 декабря 201</w:t>
      </w:r>
      <w:r>
        <w:rPr>
          <w:rFonts w:ascii="Arial" w:hAnsi="Arial" w:cs="Arial"/>
          <w:b/>
          <w:i/>
          <w:color w:val="000000"/>
        </w:rPr>
        <w:t>4</w:t>
      </w:r>
      <w:r w:rsidRPr="00A9235F">
        <w:rPr>
          <w:rFonts w:ascii="Arial" w:hAnsi="Arial" w:cs="Arial"/>
          <w:b/>
          <w:i/>
          <w:color w:val="000000"/>
        </w:rPr>
        <w:t xml:space="preserve"> года;</w:t>
      </w:r>
    </w:p>
    <w:p w:rsidR="007B6CF9" w:rsidRPr="00A9235F" w:rsidRDefault="007B6CF9" w:rsidP="007D7C2D">
      <w:pPr>
        <w:widowControl/>
        <w:numPr>
          <w:ilvl w:val="0"/>
          <w:numId w:val="11"/>
        </w:numPr>
        <w:autoSpaceDE/>
        <w:autoSpaceDN/>
        <w:spacing w:before="0" w:after="0"/>
        <w:ind w:left="0" w:right="40" w:firstLine="567"/>
        <w:jc w:val="both"/>
        <w:rPr>
          <w:rFonts w:ascii="Arial" w:hAnsi="Arial" w:cs="Arial"/>
          <w:b/>
          <w:i/>
          <w:color w:val="000000"/>
        </w:rPr>
      </w:pPr>
      <w:r w:rsidRPr="00A9235F">
        <w:rPr>
          <w:rFonts w:ascii="Arial" w:hAnsi="Arial" w:cs="Arial"/>
          <w:b/>
          <w:i/>
          <w:color w:val="000000"/>
        </w:rPr>
        <w:t>п</w:t>
      </w:r>
      <w:r>
        <w:rPr>
          <w:rFonts w:ascii="Arial" w:hAnsi="Arial" w:cs="Arial"/>
          <w:b/>
          <w:i/>
          <w:color w:val="000000"/>
        </w:rPr>
        <w:t>римечаний</w:t>
      </w:r>
      <w:r w:rsidRPr="00A9235F">
        <w:rPr>
          <w:rFonts w:ascii="Arial" w:hAnsi="Arial" w:cs="Arial"/>
          <w:b/>
          <w:i/>
          <w:color w:val="000000"/>
        </w:rPr>
        <w:t xml:space="preserve"> к консолидированной финансовой отчетности </w:t>
      </w:r>
      <w:r>
        <w:rPr>
          <w:rFonts w:ascii="Arial" w:hAnsi="Arial" w:cs="Arial"/>
          <w:b/>
          <w:i/>
          <w:color w:val="000000"/>
        </w:rPr>
        <w:t>за год, закончившийся</w:t>
      </w:r>
      <w:r w:rsidRPr="00A9235F">
        <w:rPr>
          <w:rFonts w:ascii="Arial" w:hAnsi="Arial" w:cs="Arial"/>
          <w:b/>
          <w:i/>
          <w:color w:val="000000"/>
        </w:rPr>
        <w:t xml:space="preserve"> 31 декабря 201</w:t>
      </w:r>
      <w:r>
        <w:rPr>
          <w:rFonts w:ascii="Arial" w:hAnsi="Arial" w:cs="Arial"/>
          <w:b/>
          <w:i/>
          <w:color w:val="000000"/>
        </w:rPr>
        <w:t>4</w:t>
      </w:r>
      <w:r w:rsidRPr="00A9235F">
        <w:rPr>
          <w:rFonts w:ascii="Arial" w:hAnsi="Arial" w:cs="Arial"/>
          <w:b/>
          <w:i/>
          <w:color w:val="000000"/>
        </w:rPr>
        <w:t xml:space="preserve"> года.</w:t>
      </w:r>
    </w:p>
    <w:p w:rsidR="007B6CF9" w:rsidRPr="00A9235F" w:rsidRDefault="007B6CF9" w:rsidP="00EE2E12">
      <w:pPr>
        <w:ind w:left="360"/>
        <w:jc w:val="both"/>
        <w:rPr>
          <w:rFonts w:ascii="Arial" w:hAnsi="Arial" w:cs="Arial"/>
          <w:b/>
          <w:i/>
          <w:color w:val="000000"/>
        </w:rPr>
      </w:pPr>
    </w:p>
    <w:p w:rsidR="007B6CF9" w:rsidRDefault="007B6CF9" w:rsidP="007B6CF9">
      <w:pPr>
        <w:pStyle w:val="ConsPlusNormal"/>
        <w:ind w:firstLine="540"/>
        <w:jc w:val="both"/>
        <w:rPr>
          <w:rFonts w:ascii="Times New Roman" w:hAnsi="Times New Roman" w:cs="Times New Roman"/>
        </w:rPr>
      </w:pPr>
      <w:r>
        <w:rPr>
          <w:rFonts w:ascii="Times New Roman" w:hAnsi="Times New Roman" w:cs="Times New Roman"/>
        </w:rPr>
        <w:t>б) промежуточная консолидированная финансовая отчетность эмитента за отчетный период, состоящий из шести месяцев текущего года, составленная в соответствии с требованиями законодательства Российской Федерации, а если в отношении нее проведен аудит - с приложением соответствующего аудиторского заключения. При этом отдельно указываются стандарты (правила), в соответствии с которыми составлена такая промежуточная консолидированная финансовая отчетность. В случае если эмитент не составляет промежуточную консолидированную финансовую отчетность, указываются основания, в силу которых у эмитента отсутствует обязанность по ее составлению.</w:t>
      </w:r>
    </w:p>
    <w:p w:rsidR="00A06BCF" w:rsidRDefault="00A06BCF" w:rsidP="00EE2E12">
      <w:pPr>
        <w:ind w:firstLine="540"/>
        <w:jc w:val="both"/>
        <w:rPr>
          <w:rFonts w:ascii="Arial" w:hAnsi="Arial" w:cs="Arial"/>
          <w:b/>
          <w:i/>
        </w:rPr>
      </w:pPr>
    </w:p>
    <w:p w:rsidR="007B6CF9" w:rsidRPr="00A400A8" w:rsidRDefault="007B6CF9" w:rsidP="00EE2E12">
      <w:pPr>
        <w:ind w:firstLine="540"/>
        <w:jc w:val="both"/>
        <w:rPr>
          <w:rFonts w:ascii="Arial" w:hAnsi="Arial" w:cs="Arial"/>
          <w:b/>
          <w:i/>
        </w:rPr>
      </w:pPr>
      <w:r w:rsidRPr="00A400A8">
        <w:rPr>
          <w:rFonts w:ascii="Arial" w:hAnsi="Arial" w:cs="Arial"/>
          <w:b/>
          <w:i/>
        </w:rPr>
        <w:t>В связи с тем, что на дату утверждения настоящего Проспекта ценных бумаг не истек срок представления промежуточной консолидированной финансовой отчетности</w:t>
      </w:r>
      <w:r>
        <w:rPr>
          <w:rFonts w:ascii="Arial" w:hAnsi="Arial" w:cs="Arial"/>
          <w:b/>
          <w:i/>
        </w:rPr>
        <w:t xml:space="preserve"> </w:t>
      </w:r>
      <w:r w:rsidRPr="00A400A8">
        <w:rPr>
          <w:rFonts w:ascii="Arial" w:hAnsi="Arial" w:cs="Arial"/>
          <w:b/>
          <w:i/>
        </w:rPr>
        <w:t>за 6 месяцев 201</w:t>
      </w:r>
      <w:r>
        <w:rPr>
          <w:rFonts w:ascii="Arial" w:hAnsi="Arial" w:cs="Arial"/>
          <w:b/>
          <w:i/>
        </w:rPr>
        <w:t>6</w:t>
      </w:r>
      <w:r w:rsidRPr="00A400A8">
        <w:rPr>
          <w:rFonts w:ascii="Arial" w:hAnsi="Arial" w:cs="Arial"/>
          <w:b/>
          <w:i/>
        </w:rPr>
        <w:t xml:space="preserve"> года, указанная отчетность к Проспекту ценных бумаг не прилагается.</w:t>
      </w:r>
    </w:p>
    <w:p w:rsidR="007B6CF9" w:rsidRDefault="007B6CF9" w:rsidP="007B6CF9">
      <w:pPr>
        <w:pStyle w:val="ConsPlusNormal"/>
        <w:ind w:firstLine="540"/>
        <w:jc w:val="both"/>
        <w:rPr>
          <w:rFonts w:ascii="Times New Roman" w:hAnsi="Times New Roman" w:cs="Times New Roman"/>
        </w:rPr>
      </w:pPr>
    </w:p>
    <w:p w:rsidR="007B6CF9" w:rsidRDefault="007B6CF9" w:rsidP="007B6CF9">
      <w:pPr>
        <w:pStyle w:val="ConsPlusNormal"/>
        <w:ind w:firstLine="540"/>
        <w:jc w:val="both"/>
        <w:rPr>
          <w:rFonts w:ascii="Times New Roman" w:hAnsi="Times New Roman" w:cs="Times New Roman"/>
        </w:rPr>
      </w:pPr>
      <w:r>
        <w:rPr>
          <w:rFonts w:ascii="Times New Roman" w:hAnsi="Times New Roman" w:cs="Times New Roman"/>
        </w:rPr>
        <w:t>в) при наличии у эмитента промежуточной консолидированной финансовой отчетности за отчетные периоды, состоящие из трех и девяти месяцев текущего года, дополнительно прилагается такая промежуточная консолидированная финансовая отчетность эмитента за последний завершенный отчетный период, состоящий из трех или девяти месяцев отчетного года, а если в отношении нее проведен аудит - вместе с соответствующим аудиторским заключением. При этом отдельно указываются стандарты (правила), в соответствии с которыми составлена такая промежуточная консолидированная финансовая отчетность.</w:t>
      </w:r>
    </w:p>
    <w:p w:rsidR="007B6CF9" w:rsidRPr="00611A3C" w:rsidRDefault="007B6CF9" w:rsidP="00EE2E12">
      <w:pPr>
        <w:ind w:firstLine="540"/>
        <w:jc w:val="both"/>
        <w:rPr>
          <w:rFonts w:ascii="Arial" w:hAnsi="Arial" w:cs="Arial"/>
          <w:b/>
          <w:i/>
        </w:rPr>
      </w:pPr>
      <w:r w:rsidRPr="00611A3C">
        <w:rPr>
          <w:rFonts w:ascii="Arial" w:hAnsi="Arial" w:cs="Arial"/>
          <w:b/>
          <w:i/>
        </w:rPr>
        <w:t>Эмитент не составляет промежуточную консолидированной финансовой отчетности за отчетные периоды, состоящие из трех и девяти месяцев.</w:t>
      </w:r>
    </w:p>
    <w:p w:rsidR="007B6CF9" w:rsidRDefault="007B6CF9" w:rsidP="007B6CF9">
      <w:pPr>
        <w:pStyle w:val="ConsPlusNormal"/>
        <w:jc w:val="both"/>
        <w:rPr>
          <w:rFonts w:ascii="Times New Roman" w:hAnsi="Times New Roman" w:cs="Times New Roman"/>
        </w:rPr>
      </w:pPr>
    </w:p>
    <w:p w:rsidR="007B6CF9" w:rsidRPr="00C63312" w:rsidRDefault="007B6CF9" w:rsidP="007B6CF9">
      <w:pPr>
        <w:pStyle w:val="ConsPlusNormal"/>
        <w:ind w:firstLine="540"/>
        <w:jc w:val="both"/>
        <w:outlineLvl w:val="1"/>
        <w:rPr>
          <w:b/>
          <w:i/>
          <w:sz w:val="28"/>
          <w:szCs w:val="28"/>
        </w:rPr>
      </w:pPr>
      <w:bookmarkStart w:id="94" w:name="_Toc448251190"/>
      <w:r w:rsidRPr="00C63312">
        <w:rPr>
          <w:b/>
          <w:i/>
          <w:sz w:val="28"/>
          <w:szCs w:val="28"/>
        </w:rPr>
        <w:t>7.4. Сведения об учетной политике эмитента</w:t>
      </w:r>
      <w:bookmarkEnd w:id="94"/>
    </w:p>
    <w:p w:rsidR="00A06BCF" w:rsidRDefault="00A06BCF" w:rsidP="007B6CF9">
      <w:pPr>
        <w:pStyle w:val="ConsPlusNormal"/>
        <w:ind w:firstLine="540"/>
        <w:jc w:val="both"/>
        <w:rPr>
          <w:rFonts w:ascii="Times New Roman" w:hAnsi="Times New Roman" w:cs="Times New Roman"/>
        </w:rPr>
      </w:pPr>
    </w:p>
    <w:p w:rsidR="007B6CF9" w:rsidRDefault="007B6CF9" w:rsidP="007B6CF9">
      <w:pPr>
        <w:pStyle w:val="ConsPlusNormal"/>
        <w:ind w:firstLine="540"/>
        <w:jc w:val="both"/>
        <w:rPr>
          <w:rFonts w:ascii="Times New Roman" w:hAnsi="Times New Roman" w:cs="Times New Roman"/>
        </w:rPr>
      </w:pPr>
      <w:r>
        <w:rPr>
          <w:rFonts w:ascii="Times New Roman" w:hAnsi="Times New Roman" w:cs="Times New Roman"/>
        </w:rPr>
        <w:t>Раскрываются основные положения учетной политики эмитента, самостоятельно определенной эмитентом в соответствии с законодательством Российской Федерации о бухгалтерском учете и утвержденной приказом или распоряжением лица, ответственного за организацию и состояние бухгалтерского учета эмитента.</w:t>
      </w:r>
    </w:p>
    <w:p w:rsidR="007B6CF9" w:rsidRDefault="007B6CF9" w:rsidP="007B6CF9">
      <w:pPr>
        <w:pStyle w:val="ConsPlusNormal"/>
        <w:ind w:firstLine="540"/>
        <w:jc w:val="both"/>
        <w:rPr>
          <w:rFonts w:ascii="Times New Roman" w:hAnsi="Times New Roman" w:cs="Times New Roman"/>
        </w:rPr>
      </w:pPr>
      <w:r>
        <w:rPr>
          <w:rFonts w:ascii="Times New Roman" w:hAnsi="Times New Roman" w:cs="Times New Roman"/>
        </w:rPr>
        <w:t>Информация об основных положениях принятой эмитентом учетной политики указывается в отношении текущего отчетного года, квартальная бухгалтерская (финансовая) отчетность за который включается в состав проспекта ценных бумаг, а также в отношении каждого завершенного отчетного года, годовая бухгалтерская (финансовая) отчетность за который включается в состав проспекта ценных бумаг.</w:t>
      </w:r>
    </w:p>
    <w:p w:rsidR="007B6CF9" w:rsidRPr="00E24053" w:rsidRDefault="007B6CF9" w:rsidP="003E17E4">
      <w:pPr>
        <w:ind w:firstLine="540"/>
        <w:jc w:val="both"/>
        <w:rPr>
          <w:rFonts w:ascii="Arial" w:hAnsi="Arial" w:cs="Arial"/>
          <w:b/>
          <w:i/>
          <w:u w:val="single"/>
        </w:rPr>
      </w:pPr>
      <w:r w:rsidRPr="00E24053">
        <w:rPr>
          <w:rFonts w:ascii="Arial" w:hAnsi="Arial" w:cs="Arial"/>
          <w:b/>
          <w:i/>
          <w:u w:val="single"/>
        </w:rPr>
        <w:t xml:space="preserve">Основные положения учетной политики Эмитента, самостоятельно определенной </w:t>
      </w:r>
      <w:r w:rsidR="00B929CD">
        <w:rPr>
          <w:rFonts w:ascii="Arial" w:hAnsi="Arial" w:cs="Arial"/>
          <w:b/>
          <w:i/>
          <w:u w:val="single"/>
        </w:rPr>
        <w:t>Э</w:t>
      </w:r>
      <w:r w:rsidRPr="00E24053">
        <w:rPr>
          <w:rFonts w:ascii="Arial" w:hAnsi="Arial" w:cs="Arial"/>
          <w:b/>
          <w:i/>
          <w:u w:val="single"/>
        </w:rPr>
        <w:t>митентом в соответствии с законодательством Российской Федерации о бухгалтерском учете</w:t>
      </w:r>
      <w:r w:rsidR="00B929CD">
        <w:rPr>
          <w:rFonts w:ascii="Arial" w:hAnsi="Arial" w:cs="Arial"/>
          <w:b/>
          <w:i/>
          <w:u w:val="single"/>
        </w:rPr>
        <w:t xml:space="preserve"> </w:t>
      </w:r>
      <w:r w:rsidRPr="00E24053">
        <w:rPr>
          <w:rFonts w:ascii="Arial" w:hAnsi="Arial" w:cs="Arial"/>
          <w:b/>
          <w:i/>
          <w:u w:val="single"/>
        </w:rPr>
        <w:t>на 2013</w:t>
      </w:r>
      <w:r w:rsidR="008C1793">
        <w:rPr>
          <w:rFonts w:ascii="Arial" w:hAnsi="Arial" w:cs="Arial"/>
          <w:b/>
          <w:i/>
          <w:u w:val="single"/>
        </w:rPr>
        <w:t>, 2014 и 2015</w:t>
      </w:r>
      <w:r w:rsidRPr="00E24053">
        <w:rPr>
          <w:rFonts w:ascii="Arial" w:hAnsi="Arial" w:cs="Arial"/>
          <w:b/>
          <w:i/>
          <w:u w:val="single"/>
        </w:rPr>
        <w:t xml:space="preserve"> </w:t>
      </w:r>
      <w:r w:rsidRPr="007D7C2D">
        <w:rPr>
          <w:rFonts w:ascii="Arial" w:hAnsi="Arial" w:cs="Arial"/>
          <w:b/>
          <w:i/>
          <w:u w:val="single"/>
        </w:rPr>
        <w:t>год</w:t>
      </w:r>
      <w:r w:rsidR="00EE2E12" w:rsidRPr="007D7C2D">
        <w:rPr>
          <w:rFonts w:ascii="Arial" w:hAnsi="Arial" w:cs="Arial"/>
          <w:b/>
          <w:i/>
          <w:u w:val="single"/>
        </w:rPr>
        <w:t>ы</w:t>
      </w:r>
      <w:r w:rsidR="008C1793" w:rsidRPr="007D7C2D">
        <w:rPr>
          <w:i/>
          <w:u w:val="single"/>
        </w:rPr>
        <w:t xml:space="preserve"> </w:t>
      </w:r>
      <w:r w:rsidR="008C1793" w:rsidRPr="007D7C2D">
        <w:rPr>
          <w:rFonts w:ascii="Arial" w:hAnsi="Arial" w:cs="Arial"/>
          <w:b/>
          <w:i/>
          <w:u w:val="single"/>
        </w:rPr>
        <w:t>прив</w:t>
      </w:r>
      <w:r w:rsidR="008C1793" w:rsidRPr="008C1793">
        <w:rPr>
          <w:rFonts w:ascii="Arial" w:hAnsi="Arial" w:cs="Arial"/>
          <w:b/>
          <w:i/>
          <w:u w:val="single"/>
        </w:rPr>
        <w:t>од</w:t>
      </w:r>
      <w:r w:rsidR="008C1793">
        <w:rPr>
          <w:rFonts w:ascii="Arial" w:hAnsi="Arial" w:cs="Arial"/>
          <w:b/>
          <w:i/>
          <w:u w:val="single"/>
        </w:rPr>
        <w:t>я</w:t>
      </w:r>
      <w:r w:rsidR="008C1793" w:rsidRPr="008C1793">
        <w:rPr>
          <w:rFonts w:ascii="Arial" w:hAnsi="Arial" w:cs="Arial"/>
          <w:b/>
          <w:i/>
          <w:u w:val="single"/>
        </w:rPr>
        <w:t>тся в Приложении №</w:t>
      </w:r>
      <w:r w:rsidR="008C1793">
        <w:rPr>
          <w:rFonts w:ascii="Arial" w:hAnsi="Arial" w:cs="Arial"/>
          <w:b/>
          <w:i/>
          <w:u w:val="single"/>
        </w:rPr>
        <w:t>4</w:t>
      </w:r>
      <w:r w:rsidR="008C1793" w:rsidRPr="008C1793">
        <w:rPr>
          <w:rFonts w:ascii="Arial" w:hAnsi="Arial" w:cs="Arial"/>
          <w:b/>
          <w:i/>
          <w:u w:val="single"/>
        </w:rPr>
        <w:t xml:space="preserve"> к настоящему Проспекту ценных бумаг.</w:t>
      </w:r>
    </w:p>
    <w:p w:rsidR="007B6CF9" w:rsidRDefault="007B6CF9" w:rsidP="007B6CF9">
      <w:pPr>
        <w:ind w:firstLine="540"/>
        <w:rPr>
          <w:rFonts w:ascii="Arial" w:hAnsi="Arial" w:cs="Arial"/>
          <w:b/>
          <w:i/>
        </w:rPr>
      </w:pPr>
    </w:p>
    <w:p w:rsidR="007B6CF9" w:rsidRPr="00C63312" w:rsidRDefault="007B6CF9" w:rsidP="007B6CF9">
      <w:pPr>
        <w:pStyle w:val="ConsPlusNormal"/>
        <w:ind w:firstLine="540"/>
        <w:jc w:val="both"/>
        <w:outlineLvl w:val="1"/>
        <w:rPr>
          <w:b/>
          <w:i/>
          <w:sz w:val="28"/>
          <w:szCs w:val="28"/>
        </w:rPr>
      </w:pPr>
      <w:bookmarkStart w:id="95" w:name="_Toc448251191"/>
      <w:r w:rsidRPr="00C63312">
        <w:rPr>
          <w:b/>
          <w:i/>
          <w:sz w:val="28"/>
          <w:szCs w:val="28"/>
        </w:rPr>
        <w:t>7.5. Сведения об общей сумме экспорта, а также о доле, которую составляет экспорт в общем объеме продаж</w:t>
      </w:r>
      <w:bookmarkEnd w:id="95"/>
    </w:p>
    <w:p w:rsidR="007B6CF9" w:rsidRPr="007B6CF9" w:rsidRDefault="007B6CF9" w:rsidP="007B6CF9">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7B6CF9" w:rsidRDefault="007B6CF9" w:rsidP="007B6CF9">
      <w:pPr>
        <w:pStyle w:val="ConsPlusNormal"/>
        <w:jc w:val="both"/>
        <w:rPr>
          <w:rFonts w:ascii="Times New Roman" w:hAnsi="Times New Roman" w:cs="Times New Roman"/>
        </w:rPr>
      </w:pPr>
    </w:p>
    <w:p w:rsidR="007B6CF9" w:rsidRPr="00C63312" w:rsidRDefault="007B6CF9" w:rsidP="007B6CF9">
      <w:pPr>
        <w:pStyle w:val="ConsPlusNormal"/>
        <w:ind w:firstLine="540"/>
        <w:jc w:val="both"/>
        <w:outlineLvl w:val="1"/>
        <w:rPr>
          <w:b/>
          <w:i/>
          <w:sz w:val="28"/>
          <w:szCs w:val="28"/>
        </w:rPr>
      </w:pPr>
      <w:bookmarkStart w:id="96" w:name="_Toc448251192"/>
      <w:r w:rsidRPr="00C63312">
        <w:rPr>
          <w:b/>
          <w:i/>
          <w:sz w:val="28"/>
          <w:szCs w:val="28"/>
        </w:rPr>
        <w:t>7.6. Сведения о существенных изменениях, произошедших в составе имущества эмитента после даты окончания последнего завершенного отчетного года</w:t>
      </w:r>
      <w:bookmarkEnd w:id="96"/>
    </w:p>
    <w:p w:rsidR="007B6CF9" w:rsidRPr="007B6CF9" w:rsidRDefault="007B6CF9" w:rsidP="007B6CF9">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7B6CF9" w:rsidRDefault="007B6CF9" w:rsidP="007B6CF9">
      <w:pPr>
        <w:pStyle w:val="ConsPlusNormal"/>
        <w:jc w:val="both"/>
        <w:rPr>
          <w:rFonts w:ascii="Times New Roman" w:hAnsi="Times New Roman" w:cs="Times New Roman"/>
        </w:rPr>
      </w:pPr>
    </w:p>
    <w:p w:rsidR="007B6CF9" w:rsidRPr="00C63312" w:rsidRDefault="007B6CF9" w:rsidP="007B6CF9">
      <w:pPr>
        <w:pStyle w:val="ConsPlusNormal"/>
        <w:ind w:firstLine="540"/>
        <w:jc w:val="both"/>
        <w:outlineLvl w:val="1"/>
        <w:rPr>
          <w:b/>
          <w:i/>
          <w:sz w:val="28"/>
          <w:szCs w:val="28"/>
        </w:rPr>
      </w:pPr>
      <w:bookmarkStart w:id="97" w:name="_Toc448251193"/>
      <w:r w:rsidRPr="00C63312">
        <w:rPr>
          <w:b/>
          <w:i/>
          <w:sz w:val="28"/>
          <w:szCs w:val="28"/>
        </w:rPr>
        <w:t>7.7. Сведения об участии эмитента в судебных процессах в случае, если такое участие может существенно отразиться на финансово-хозяйственной деятельности эмитента</w:t>
      </w:r>
      <w:bookmarkEnd w:id="97"/>
    </w:p>
    <w:p w:rsidR="00A06BCF" w:rsidRDefault="00A06BCF" w:rsidP="007B6CF9">
      <w:pPr>
        <w:pStyle w:val="ConsPlusNormal"/>
        <w:ind w:firstLine="540"/>
        <w:jc w:val="both"/>
        <w:rPr>
          <w:rFonts w:ascii="Times New Roman" w:hAnsi="Times New Roman" w:cs="Times New Roman"/>
        </w:rPr>
      </w:pPr>
    </w:p>
    <w:p w:rsidR="007B6CF9" w:rsidRDefault="007B6CF9" w:rsidP="007B6CF9">
      <w:pPr>
        <w:pStyle w:val="ConsPlusNormal"/>
        <w:ind w:firstLine="540"/>
        <w:jc w:val="both"/>
        <w:rPr>
          <w:rFonts w:ascii="Times New Roman" w:hAnsi="Times New Roman" w:cs="Times New Roman"/>
        </w:rPr>
      </w:pPr>
      <w:r>
        <w:rPr>
          <w:rFonts w:ascii="Times New Roman" w:hAnsi="Times New Roman" w:cs="Times New Roman"/>
        </w:rPr>
        <w:t>Указываются сведения об участии эмитента в судебных процессах в качестве истца либо ответчика (с указанием наложенных на ответчика судебным органом санкций) в случае, если такое участие может существенно отразиться на финансово-хозяйственной деятельности эмитента. Сведения раскрываются за три последних завершенных отчетных года, предшествующих дате утверждения проспекта ценных бумаг, либо за каждый завершенный отчетный год, если эмитент осуществляет свою деятельность менее трех лет.</w:t>
      </w:r>
    </w:p>
    <w:p w:rsidR="00A06BCF" w:rsidRDefault="00A06BCF" w:rsidP="007D7C2D">
      <w:pPr>
        <w:pStyle w:val="ConsPlusNormal"/>
        <w:ind w:firstLine="567"/>
        <w:jc w:val="both"/>
        <w:rPr>
          <w:b/>
          <w:i/>
        </w:rPr>
      </w:pPr>
    </w:p>
    <w:p w:rsidR="007B6CF9" w:rsidRPr="000613D9" w:rsidRDefault="007B6CF9" w:rsidP="007D7C2D">
      <w:pPr>
        <w:pStyle w:val="ConsPlusNormal"/>
        <w:ind w:firstLine="567"/>
        <w:jc w:val="both"/>
        <w:rPr>
          <w:b/>
          <w:i/>
        </w:rPr>
      </w:pPr>
      <w:r w:rsidRPr="000613D9">
        <w:rPr>
          <w:b/>
          <w:i/>
        </w:rPr>
        <w:t xml:space="preserve">Эмитент не участвовал/не участвует в судебных процессах, которые отразились/могут отразиться на финансово-хозяйственной деятельности, в течение </w:t>
      </w:r>
      <w:r>
        <w:rPr>
          <w:b/>
          <w:i/>
        </w:rPr>
        <w:t>последних трех завершенных лет, предшествующих дате утверждения настоящего Проспекта ценных бумаг.</w:t>
      </w:r>
    </w:p>
    <w:p w:rsidR="007B6CF9" w:rsidRDefault="007B6CF9" w:rsidP="007B6CF9"/>
    <w:p w:rsidR="007B6CF9" w:rsidRDefault="007B6CF9">
      <w:pPr>
        <w:widowControl/>
        <w:autoSpaceDE/>
        <w:autoSpaceDN/>
        <w:adjustRightInd/>
        <w:spacing w:before="0" w:after="200" w:line="276" w:lineRule="auto"/>
      </w:pPr>
      <w:r>
        <w:br w:type="page"/>
      </w:r>
    </w:p>
    <w:p w:rsidR="00886DC8" w:rsidRPr="00C63312" w:rsidRDefault="00886DC8" w:rsidP="00886DC8">
      <w:pPr>
        <w:widowControl/>
        <w:spacing w:before="0" w:after="0"/>
        <w:ind w:firstLine="540"/>
        <w:jc w:val="both"/>
        <w:outlineLvl w:val="0"/>
        <w:rPr>
          <w:rFonts w:ascii="Arial" w:eastAsiaTheme="minorHAnsi" w:hAnsi="Arial" w:cs="Arial"/>
          <w:b/>
          <w:sz w:val="32"/>
          <w:szCs w:val="32"/>
          <w:lang w:eastAsia="en-US"/>
        </w:rPr>
      </w:pPr>
      <w:bookmarkStart w:id="98" w:name="Par0"/>
      <w:bookmarkStart w:id="99" w:name="_Toc448251194"/>
      <w:bookmarkEnd w:id="98"/>
      <w:r w:rsidRPr="00C63312">
        <w:rPr>
          <w:rFonts w:ascii="Arial" w:eastAsiaTheme="minorHAnsi" w:hAnsi="Arial" w:cs="Arial"/>
          <w:b/>
          <w:sz w:val="32"/>
          <w:szCs w:val="32"/>
          <w:lang w:eastAsia="en-US"/>
        </w:rPr>
        <w:t>Раздел VIII. Сведения о размещаемых эмиссионных ценных бумагах, а также об объеме, о сроке, об условиях и о порядке их размещения</w:t>
      </w:r>
      <w:bookmarkEnd w:id="99"/>
    </w:p>
    <w:p w:rsidR="00886DC8" w:rsidRPr="00886DC8" w:rsidRDefault="00886DC8" w:rsidP="00886DC8">
      <w:pPr>
        <w:widowControl/>
        <w:spacing w:before="0" w:after="0"/>
        <w:jc w:val="both"/>
        <w:rPr>
          <w:rFonts w:eastAsiaTheme="minorHAnsi"/>
          <w:lang w:eastAsia="en-US"/>
        </w:rPr>
      </w:pPr>
    </w:p>
    <w:p w:rsidR="00886DC8" w:rsidRPr="00C63312" w:rsidRDefault="00886DC8" w:rsidP="00C63312">
      <w:pPr>
        <w:pStyle w:val="ConsPlusNormal"/>
        <w:ind w:firstLine="540"/>
        <w:jc w:val="both"/>
        <w:outlineLvl w:val="1"/>
        <w:rPr>
          <w:b/>
          <w:i/>
          <w:sz w:val="28"/>
          <w:szCs w:val="28"/>
        </w:rPr>
      </w:pPr>
      <w:bookmarkStart w:id="100" w:name="_Toc448251195"/>
      <w:r w:rsidRPr="00C63312">
        <w:rPr>
          <w:b/>
          <w:i/>
          <w:sz w:val="28"/>
          <w:szCs w:val="28"/>
        </w:rPr>
        <w:t>8.1. Вид, категория (тип) ценных бумаг</w:t>
      </w:r>
      <w:bookmarkEnd w:id="100"/>
    </w:p>
    <w:p w:rsidR="00886DC8" w:rsidRPr="001D210C" w:rsidRDefault="00886DC8" w:rsidP="001D210C">
      <w:pPr>
        <w:widowControl/>
        <w:spacing w:before="0" w:after="0"/>
        <w:ind w:firstLine="567"/>
        <w:jc w:val="both"/>
        <w:rPr>
          <w:rFonts w:eastAsiaTheme="minorHAnsi"/>
          <w:lang w:eastAsia="en-US"/>
        </w:rPr>
      </w:pPr>
    </w:p>
    <w:p w:rsidR="0006561E" w:rsidRPr="001D210C" w:rsidRDefault="0006561E" w:rsidP="001D210C">
      <w:pPr>
        <w:ind w:firstLine="567"/>
        <w:jc w:val="both"/>
        <w:rPr>
          <w:rFonts w:ascii="Arial" w:hAnsi="Arial" w:cs="Arial"/>
          <w:b/>
          <w:bCs/>
          <w:i/>
          <w:iCs/>
        </w:rPr>
      </w:pPr>
      <w:r w:rsidRPr="001D210C">
        <w:t xml:space="preserve">вид ценных бумаг: </w:t>
      </w:r>
      <w:r w:rsidRPr="001D210C">
        <w:rPr>
          <w:rFonts w:ascii="Arial" w:hAnsi="Arial" w:cs="Arial"/>
          <w:b/>
          <w:bCs/>
          <w:i/>
          <w:iCs/>
        </w:rPr>
        <w:t xml:space="preserve">биржевые облигации </w:t>
      </w:r>
    </w:p>
    <w:p w:rsidR="0006561E" w:rsidRPr="001D210C" w:rsidRDefault="0006561E" w:rsidP="001D210C">
      <w:pPr>
        <w:pStyle w:val="Default"/>
        <w:ind w:firstLine="567"/>
        <w:jc w:val="both"/>
        <w:rPr>
          <w:rFonts w:ascii="Arial" w:eastAsia="Times New Roman" w:hAnsi="Arial" w:cs="Arial"/>
          <w:b/>
          <w:bCs/>
          <w:i/>
          <w:iCs/>
          <w:color w:val="auto"/>
          <w:sz w:val="20"/>
          <w:szCs w:val="20"/>
          <w:lang w:eastAsia="ru-RU"/>
        </w:rPr>
      </w:pPr>
      <w:r w:rsidRPr="001D210C">
        <w:rPr>
          <w:sz w:val="20"/>
          <w:szCs w:val="20"/>
        </w:rPr>
        <w:t xml:space="preserve">иные идентификационные признаки размещаемых ценных бумаг (конвертируемые или неконвертируемые, процентные, дисконтные и т.д.): </w:t>
      </w:r>
      <w:r w:rsidRPr="001D210C">
        <w:rPr>
          <w:rFonts w:ascii="Arial" w:eastAsia="Times New Roman" w:hAnsi="Arial" w:cs="Arial"/>
          <w:b/>
          <w:bCs/>
          <w:i/>
          <w:iCs/>
          <w:color w:val="auto"/>
          <w:sz w:val="20"/>
          <w:szCs w:val="20"/>
          <w:lang w:eastAsia="ru-RU"/>
        </w:rPr>
        <w:t xml:space="preserve">неконвертируемые процентные документарные биржевые облигации на предъявителя с обязательным централизованным хранением, размещаемые в рамках Программы биржевых облигаций (далее – «Биржевые облигации, размещаемые в рамках Программы биржевых облигаций» или «Биржевые облигации»). </w:t>
      </w:r>
    </w:p>
    <w:p w:rsidR="0006561E" w:rsidRPr="001D210C" w:rsidRDefault="0006561E" w:rsidP="001D210C">
      <w:pPr>
        <w:pStyle w:val="Default"/>
        <w:ind w:firstLine="567"/>
        <w:jc w:val="both"/>
        <w:rPr>
          <w:rFonts w:ascii="Arial" w:eastAsia="Times New Roman" w:hAnsi="Arial" w:cs="Arial"/>
          <w:b/>
          <w:bCs/>
          <w:i/>
          <w:iCs/>
          <w:color w:val="auto"/>
          <w:sz w:val="20"/>
          <w:szCs w:val="20"/>
          <w:u w:val="single"/>
          <w:lang w:eastAsia="ru-RU"/>
        </w:rPr>
      </w:pPr>
      <w:r w:rsidRPr="001D210C">
        <w:rPr>
          <w:sz w:val="20"/>
          <w:szCs w:val="20"/>
        </w:rPr>
        <w:t xml:space="preserve">серия: </w:t>
      </w:r>
      <w:r w:rsidRPr="001D210C">
        <w:rPr>
          <w:rFonts w:ascii="Arial" w:eastAsia="Times New Roman" w:hAnsi="Arial" w:cs="Arial"/>
          <w:b/>
          <w:bCs/>
          <w:i/>
          <w:iCs/>
          <w:color w:val="auto"/>
          <w:sz w:val="20"/>
          <w:szCs w:val="20"/>
          <w:u w:val="single"/>
          <w:lang w:eastAsia="ru-RU"/>
        </w:rPr>
        <w:t xml:space="preserve">Серия каждого отдельного выпуска Биржевых облигаций указывается в Условиях выпуска. </w:t>
      </w:r>
    </w:p>
    <w:p w:rsidR="009C29A1" w:rsidRPr="001D210C" w:rsidRDefault="009C29A1" w:rsidP="001D210C">
      <w:pPr>
        <w:ind w:firstLine="567"/>
        <w:jc w:val="both"/>
        <w:rPr>
          <w:b/>
          <w:bCs/>
          <w:i/>
          <w:iCs/>
        </w:rPr>
      </w:pPr>
    </w:p>
    <w:p w:rsidR="009C29A1" w:rsidRPr="001D210C" w:rsidRDefault="009C29A1" w:rsidP="001D210C">
      <w:pPr>
        <w:pStyle w:val="Default"/>
        <w:ind w:firstLine="567"/>
        <w:jc w:val="both"/>
        <w:rPr>
          <w:rFonts w:ascii="Arial" w:eastAsia="Times New Roman" w:hAnsi="Arial" w:cs="Arial"/>
          <w:b/>
          <w:bCs/>
          <w:i/>
          <w:iCs/>
          <w:color w:val="auto"/>
          <w:sz w:val="20"/>
          <w:szCs w:val="20"/>
          <w:lang w:eastAsia="ru-RU"/>
        </w:rPr>
      </w:pPr>
      <w:r w:rsidRPr="001D210C">
        <w:rPr>
          <w:rFonts w:ascii="Arial" w:eastAsia="Times New Roman" w:hAnsi="Arial" w:cs="Arial"/>
          <w:b/>
          <w:bCs/>
          <w:i/>
          <w:iCs/>
          <w:color w:val="auto"/>
          <w:sz w:val="20"/>
          <w:szCs w:val="20"/>
          <w:lang w:eastAsia="ru-RU"/>
        </w:rPr>
        <w:t>Далее в настоящем документе будут использоваться следующие термины:</w:t>
      </w:r>
    </w:p>
    <w:p w:rsidR="009C29A1" w:rsidRPr="001D210C" w:rsidRDefault="009C29A1" w:rsidP="001D210C">
      <w:pPr>
        <w:widowControl/>
        <w:spacing w:before="0" w:after="0"/>
        <w:ind w:firstLine="567"/>
        <w:jc w:val="both"/>
        <w:rPr>
          <w:rFonts w:eastAsiaTheme="minorHAnsi"/>
          <w:lang w:eastAsia="en-US"/>
        </w:rPr>
      </w:pPr>
    </w:p>
    <w:p w:rsidR="006D5CAC" w:rsidRPr="001D210C" w:rsidRDefault="006D5CAC" w:rsidP="001D210C">
      <w:pPr>
        <w:pStyle w:val="Default"/>
        <w:ind w:firstLine="567"/>
        <w:jc w:val="both"/>
        <w:rPr>
          <w:rFonts w:ascii="Arial" w:eastAsia="Times New Roman" w:hAnsi="Arial" w:cs="Arial"/>
          <w:b/>
          <w:bCs/>
          <w:i/>
          <w:iCs/>
          <w:color w:val="auto"/>
          <w:sz w:val="20"/>
          <w:szCs w:val="20"/>
          <w:lang w:eastAsia="ru-RU"/>
        </w:rPr>
      </w:pPr>
      <w:r w:rsidRPr="001D210C">
        <w:rPr>
          <w:rFonts w:ascii="Arial" w:eastAsia="Times New Roman" w:hAnsi="Arial" w:cs="Arial"/>
          <w:b/>
          <w:bCs/>
          <w:i/>
          <w:iCs/>
          <w:color w:val="auto"/>
          <w:sz w:val="20"/>
          <w:szCs w:val="20"/>
          <w:lang w:eastAsia="ru-RU"/>
        </w:rPr>
        <w:t xml:space="preserve">Программа биржевых облигаций – настоящая Программа биржевых облигаций серии 001Р, первая часть решения о выпуске ценных бумаг, содержащая определяемые общим образом права владельцев биржевых облигаций и иные общие условия для одного или нескольких выпусков биржевых облигаций, далее по тексту именуется «Программа», «Программа биржевых облигаций». </w:t>
      </w:r>
    </w:p>
    <w:p w:rsidR="006D5CAC" w:rsidRPr="001D210C" w:rsidRDefault="006D5CAC" w:rsidP="001D210C">
      <w:pPr>
        <w:pStyle w:val="Default"/>
        <w:ind w:firstLine="567"/>
        <w:jc w:val="both"/>
        <w:rPr>
          <w:rFonts w:ascii="Arial" w:eastAsia="Times New Roman" w:hAnsi="Arial" w:cs="Arial"/>
          <w:b/>
          <w:bCs/>
          <w:i/>
          <w:iCs/>
          <w:color w:val="auto"/>
          <w:sz w:val="20"/>
          <w:szCs w:val="20"/>
          <w:lang w:eastAsia="ru-RU"/>
        </w:rPr>
      </w:pPr>
      <w:r w:rsidRPr="001D210C">
        <w:rPr>
          <w:rFonts w:ascii="Arial" w:eastAsia="Times New Roman" w:hAnsi="Arial" w:cs="Arial"/>
          <w:b/>
          <w:bCs/>
          <w:i/>
          <w:iCs/>
          <w:color w:val="auto"/>
          <w:sz w:val="20"/>
          <w:szCs w:val="20"/>
          <w:lang w:eastAsia="ru-RU"/>
        </w:rPr>
        <w:t xml:space="preserve">Условия выпуска - Условия выпуска биржевых облигаций в рамках программы биржевых облигаций, вторая часть решения о выпуске ценных бумаг, содержащая конкретные условия отдельного выпуска биржевых облигаций, далее по тексту именуется «Условия выпуска», «Условия отдельного выпуска». </w:t>
      </w:r>
    </w:p>
    <w:p w:rsidR="006D5CAC" w:rsidRPr="001D210C" w:rsidRDefault="006D5CAC" w:rsidP="001D210C">
      <w:pPr>
        <w:pStyle w:val="Default"/>
        <w:ind w:firstLine="567"/>
        <w:jc w:val="both"/>
        <w:rPr>
          <w:rFonts w:ascii="Arial" w:eastAsia="Times New Roman" w:hAnsi="Arial" w:cs="Arial"/>
          <w:b/>
          <w:bCs/>
          <w:i/>
          <w:iCs/>
          <w:color w:val="auto"/>
          <w:sz w:val="20"/>
          <w:szCs w:val="20"/>
          <w:lang w:eastAsia="ru-RU"/>
        </w:rPr>
      </w:pPr>
      <w:r w:rsidRPr="001D210C">
        <w:rPr>
          <w:rFonts w:ascii="Arial" w:eastAsia="Times New Roman" w:hAnsi="Arial" w:cs="Arial"/>
          <w:b/>
          <w:bCs/>
          <w:i/>
          <w:iCs/>
          <w:color w:val="auto"/>
          <w:sz w:val="20"/>
          <w:szCs w:val="20"/>
          <w:lang w:eastAsia="ru-RU"/>
        </w:rPr>
        <w:t xml:space="preserve">Биржевые облигации размещаются в рамках Программы биржевых облигаций одним или несколькими выпусками, которые далее по тексту именуются «отдельный выпуск», «отдельные выпуски». </w:t>
      </w:r>
    </w:p>
    <w:p w:rsidR="009C29A1" w:rsidRPr="00886DC8" w:rsidRDefault="009C29A1" w:rsidP="00886DC8">
      <w:pPr>
        <w:widowControl/>
        <w:spacing w:before="0" w:after="0"/>
        <w:jc w:val="both"/>
        <w:rPr>
          <w:rFonts w:eastAsiaTheme="minorHAnsi"/>
          <w:lang w:eastAsia="en-US"/>
        </w:rPr>
      </w:pPr>
    </w:p>
    <w:p w:rsidR="00886DC8" w:rsidRPr="003F1D31" w:rsidRDefault="00886DC8" w:rsidP="003F1D31">
      <w:pPr>
        <w:pStyle w:val="ConsPlusNormal"/>
        <w:ind w:firstLine="540"/>
        <w:jc w:val="both"/>
        <w:outlineLvl w:val="1"/>
        <w:rPr>
          <w:b/>
          <w:i/>
          <w:sz w:val="28"/>
          <w:szCs w:val="28"/>
        </w:rPr>
      </w:pPr>
      <w:bookmarkStart w:id="101" w:name="_Toc448251196"/>
      <w:r w:rsidRPr="003F1D31">
        <w:rPr>
          <w:b/>
          <w:i/>
          <w:sz w:val="28"/>
          <w:szCs w:val="28"/>
        </w:rPr>
        <w:t>8.2. Форма ценных бумаг</w:t>
      </w:r>
      <w:bookmarkEnd w:id="101"/>
    </w:p>
    <w:p w:rsidR="0057460D" w:rsidRDefault="0057460D" w:rsidP="00886DC8">
      <w:pPr>
        <w:widowControl/>
        <w:spacing w:before="0" w:after="0"/>
        <w:ind w:firstLine="540"/>
        <w:jc w:val="both"/>
        <w:rPr>
          <w:rFonts w:eastAsiaTheme="minorHAnsi"/>
          <w:lang w:eastAsia="en-US"/>
        </w:rPr>
      </w:pPr>
    </w:p>
    <w:p w:rsidR="00886DC8" w:rsidRPr="00886DC8" w:rsidRDefault="00C5199A" w:rsidP="00886DC8">
      <w:pPr>
        <w:widowControl/>
        <w:spacing w:before="0" w:after="0"/>
        <w:ind w:firstLine="540"/>
        <w:jc w:val="both"/>
        <w:rPr>
          <w:rFonts w:ascii="Arial" w:hAnsi="Arial" w:cs="Arial"/>
          <w:b/>
          <w:bCs/>
          <w:i/>
          <w:iCs/>
        </w:rPr>
      </w:pPr>
      <w:r>
        <w:rPr>
          <w:rFonts w:eastAsiaTheme="minorHAnsi"/>
          <w:lang w:eastAsia="en-US"/>
        </w:rPr>
        <w:t>Ф</w:t>
      </w:r>
      <w:r w:rsidR="00886DC8" w:rsidRPr="00886DC8">
        <w:rPr>
          <w:rFonts w:eastAsiaTheme="minorHAnsi"/>
          <w:lang w:eastAsia="en-US"/>
        </w:rPr>
        <w:t xml:space="preserve">орма размещаемых ценных бумаг: </w:t>
      </w:r>
      <w:r w:rsidR="00886DC8" w:rsidRPr="00886DC8">
        <w:rPr>
          <w:rFonts w:ascii="Arial" w:hAnsi="Arial" w:cs="Arial"/>
          <w:b/>
          <w:bCs/>
          <w:i/>
          <w:iCs/>
        </w:rPr>
        <w:t>документарные.</w:t>
      </w:r>
    </w:p>
    <w:p w:rsidR="00886DC8" w:rsidRPr="00886DC8" w:rsidRDefault="00886DC8" w:rsidP="00886DC8">
      <w:pPr>
        <w:widowControl/>
        <w:spacing w:before="0" w:after="0"/>
        <w:jc w:val="both"/>
        <w:rPr>
          <w:rFonts w:eastAsiaTheme="minorHAnsi"/>
          <w:lang w:eastAsia="en-US"/>
        </w:rPr>
      </w:pPr>
    </w:p>
    <w:p w:rsidR="00886DC8" w:rsidRPr="003F1D31" w:rsidRDefault="00886DC8" w:rsidP="003F1D31">
      <w:pPr>
        <w:pStyle w:val="ConsPlusNormal"/>
        <w:ind w:firstLine="540"/>
        <w:jc w:val="both"/>
        <w:outlineLvl w:val="1"/>
        <w:rPr>
          <w:b/>
          <w:i/>
          <w:sz w:val="28"/>
          <w:szCs w:val="28"/>
        </w:rPr>
      </w:pPr>
      <w:bookmarkStart w:id="102" w:name="_Toc448251197"/>
      <w:r w:rsidRPr="003F1D31">
        <w:rPr>
          <w:b/>
          <w:i/>
          <w:sz w:val="28"/>
          <w:szCs w:val="28"/>
        </w:rPr>
        <w:t>8.3. Указание на обязательное централизованное хранение</w:t>
      </w:r>
      <w:bookmarkEnd w:id="102"/>
    </w:p>
    <w:p w:rsidR="0071229B" w:rsidRDefault="0071229B" w:rsidP="00464AB7">
      <w:pPr>
        <w:pStyle w:val="Default"/>
        <w:jc w:val="both"/>
        <w:rPr>
          <w:rFonts w:ascii="Arial" w:hAnsi="Arial" w:cs="Arial"/>
          <w:b/>
          <w:bCs/>
          <w:i/>
          <w:iCs/>
          <w:sz w:val="22"/>
          <w:szCs w:val="22"/>
        </w:rPr>
      </w:pPr>
    </w:p>
    <w:p w:rsidR="00E95481" w:rsidRPr="00492E4F" w:rsidRDefault="00E95481" w:rsidP="00492E4F">
      <w:pPr>
        <w:pStyle w:val="Default"/>
        <w:ind w:firstLine="567"/>
        <w:jc w:val="both"/>
        <w:rPr>
          <w:rFonts w:ascii="Arial" w:eastAsia="Times New Roman" w:hAnsi="Arial" w:cs="Arial"/>
          <w:b/>
          <w:bCs/>
          <w:i/>
          <w:iCs/>
          <w:color w:val="auto"/>
          <w:sz w:val="20"/>
          <w:szCs w:val="20"/>
          <w:lang w:eastAsia="ru-RU"/>
        </w:rPr>
      </w:pPr>
      <w:r w:rsidRPr="00492E4F">
        <w:rPr>
          <w:rFonts w:ascii="Arial" w:eastAsia="Times New Roman" w:hAnsi="Arial" w:cs="Arial"/>
          <w:b/>
          <w:bCs/>
          <w:i/>
          <w:iCs/>
          <w:color w:val="auto"/>
          <w:sz w:val="20"/>
          <w:szCs w:val="20"/>
          <w:lang w:eastAsia="ru-RU"/>
        </w:rPr>
        <w:t xml:space="preserve">Предусмотрено обязательное централизованное хранение Биржевых облигаций, размещаемых в рамках Программы биржевых облигаций. </w:t>
      </w:r>
    </w:p>
    <w:p w:rsidR="00E95481" w:rsidRDefault="00E95481" w:rsidP="00E95481">
      <w:pPr>
        <w:pStyle w:val="Default"/>
        <w:jc w:val="both"/>
        <w:rPr>
          <w:sz w:val="22"/>
          <w:szCs w:val="22"/>
        </w:rPr>
      </w:pPr>
    </w:p>
    <w:p w:rsidR="00E95481" w:rsidRPr="00E95481" w:rsidRDefault="00E95481" w:rsidP="00E95481">
      <w:pPr>
        <w:pStyle w:val="Default"/>
        <w:jc w:val="both"/>
        <w:rPr>
          <w:sz w:val="20"/>
          <w:szCs w:val="20"/>
        </w:rPr>
      </w:pPr>
      <w:r w:rsidRPr="00E95481">
        <w:rPr>
          <w:sz w:val="20"/>
          <w:szCs w:val="20"/>
        </w:rPr>
        <w:t xml:space="preserve">Депозитарий, осуществляющий централизованное хранение: </w:t>
      </w:r>
    </w:p>
    <w:p w:rsidR="00E95481" w:rsidRPr="00E95481" w:rsidRDefault="00E95481" w:rsidP="00E95481">
      <w:pPr>
        <w:pStyle w:val="Default"/>
        <w:jc w:val="both"/>
        <w:rPr>
          <w:sz w:val="20"/>
          <w:szCs w:val="20"/>
        </w:rPr>
      </w:pPr>
      <w:r w:rsidRPr="00E95481">
        <w:rPr>
          <w:sz w:val="20"/>
          <w:szCs w:val="20"/>
        </w:rPr>
        <w:t xml:space="preserve">Полное фирменное наименование: </w:t>
      </w:r>
      <w:r w:rsidRPr="00E95481">
        <w:rPr>
          <w:rFonts w:ascii="Arial" w:hAnsi="Arial" w:cs="Arial"/>
          <w:b/>
          <w:bCs/>
          <w:i/>
          <w:iCs/>
          <w:sz w:val="20"/>
          <w:szCs w:val="20"/>
        </w:rPr>
        <w:t>Небанковская кредитная организация закрытое акционерное общество «Национальный расчетный депозитарий».</w:t>
      </w:r>
      <w:r w:rsidRPr="00E95481">
        <w:rPr>
          <w:b/>
          <w:bCs/>
          <w:i/>
          <w:iCs/>
          <w:sz w:val="20"/>
          <w:szCs w:val="20"/>
        </w:rPr>
        <w:t xml:space="preserve"> </w:t>
      </w:r>
    </w:p>
    <w:p w:rsidR="00E95481" w:rsidRPr="00E95481" w:rsidRDefault="00E95481" w:rsidP="00E95481">
      <w:pPr>
        <w:pStyle w:val="Default"/>
        <w:jc w:val="both"/>
        <w:rPr>
          <w:sz w:val="20"/>
          <w:szCs w:val="20"/>
        </w:rPr>
      </w:pPr>
      <w:r w:rsidRPr="00E95481">
        <w:rPr>
          <w:sz w:val="20"/>
          <w:szCs w:val="20"/>
        </w:rPr>
        <w:t xml:space="preserve">Сокращенное фирменное наименование: </w:t>
      </w:r>
      <w:r w:rsidRPr="00E95481">
        <w:rPr>
          <w:rFonts w:ascii="Arial" w:hAnsi="Arial" w:cs="Arial"/>
          <w:b/>
          <w:bCs/>
          <w:i/>
          <w:iCs/>
          <w:sz w:val="20"/>
          <w:szCs w:val="20"/>
        </w:rPr>
        <w:t>НКО ЗАО НРД.</w:t>
      </w:r>
      <w:r w:rsidRPr="00E95481">
        <w:rPr>
          <w:b/>
          <w:bCs/>
          <w:i/>
          <w:iCs/>
          <w:sz w:val="20"/>
          <w:szCs w:val="20"/>
        </w:rPr>
        <w:t xml:space="preserve"> </w:t>
      </w:r>
    </w:p>
    <w:p w:rsidR="00E95481" w:rsidRPr="00E95481" w:rsidRDefault="00E95481" w:rsidP="00E95481">
      <w:pPr>
        <w:pStyle w:val="Default"/>
        <w:jc w:val="both"/>
        <w:rPr>
          <w:sz w:val="20"/>
          <w:szCs w:val="20"/>
        </w:rPr>
      </w:pPr>
      <w:r w:rsidRPr="00E95481">
        <w:rPr>
          <w:sz w:val="20"/>
          <w:szCs w:val="20"/>
        </w:rPr>
        <w:t xml:space="preserve">Место нахождения: </w:t>
      </w:r>
      <w:r w:rsidRPr="00E95481">
        <w:rPr>
          <w:rFonts w:ascii="Arial" w:hAnsi="Arial" w:cs="Arial"/>
          <w:b/>
          <w:bCs/>
          <w:i/>
          <w:iCs/>
          <w:sz w:val="20"/>
          <w:szCs w:val="20"/>
        </w:rPr>
        <w:t>город Москва, улица Спартаковская, дом 12.</w:t>
      </w:r>
      <w:r w:rsidRPr="00E95481">
        <w:rPr>
          <w:b/>
          <w:bCs/>
          <w:i/>
          <w:iCs/>
          <w:sz w:val="20"/>
          <w:szCs w:val="20"/>
        </w:rPr>
        <w:t xml:space="preserve"> </w:t>
      </w:r>
    </w:p>
    <w:p w:rsidR="00E95481" w:rsidRPr="00E95481" w:rsidRDefault="00E95481" w:rsidP="00E95481">
      <w:pPr>
        <w:pStyle w:val="Default"/>
        <w:jc w:val="both"/>
        <w:rPr>
          <w:sz w:val="20"/>
          <w:szCs w:val="20"/>
        </w:rPr>
      </w:pPr>
      <w:r w:rsidRPr="00E95481">
        <w:rPr>
          <w:sz w:val="20"/>
          <w:szCs w:val="20"/>
        </w:rPr>
        <w:t xml:space="preserve">Почтовый адрес: </w:t>
      </w:r>
      <w:r w:rsidRPr="00E95481">
        <w:rPr>
          <w:rFonts w:ascii="Arial" w:hAnsi="Arial" w:cs="Arial"/>
          <w:b/>
          <w:bCs/>
          <w:i/>
          <w:iCs/>
          <w:sz w:val="20"/>
          <w:szCs w:val="20"/>
        </w:rPr>
        <w:t>105066, г. Москва, ул. Спартаковская, дом 12.</w:t>
      </w:r>
      <w:r w:rsidRPr="00E95481">
        <w:rPr>
          <w:b/>
          <w:bCs/>
          <w:i/>
          <w:iCs/>
          <w:sz w:val="20"/>
          <w:szCs w:val="20"/>
        </w:rPr>
        <w:t xml:space="preserve"> </w:t>
      </w:r>
    </w:p>
    <w:p w:rsidR="00E95481" w:rsidRPr="00E95481" w:rsidRDefault="00E95481" w:rsidP="00E95481">
      <w:pPr>
        <w:pStyle w:val="Default"/>
        <w:jc w:val="both"/>
        <w:rPr>
          <w:sz w:val="20"/>
          <w:szCs w:val="20"/>
        </w:rPr>
      </w:pPr>
      <w:r w:rsidRPr="00E95481">
        <w:rPr>
          <w:sz w:val="20"/>
          <w:szCs w:val="20"/>
        </w:rPr>
        <w:t xml:space="preserve">Контактный телефон: </w:t>
      </w:r>
      <w:r w:rsidRPr="00E95481">
        <w:rPr>
          <w:rFonts w:ascii="Arial" w:hAnsi="Arial" w:cs="Arial"/>
          <w:b/>
          <w:bCs/>
          <w:i/>
          <w:iCs/>
          <w:sz w:val="20"/>
          <w:szCs w:val="20"/>
        </w:rPr>
        <w:t>(495) 956-27-90, (495) 956-27-91.</w:t>
      </w:r>
      <w:r w:rsidRPr="00E95481">
        <w:rPr>
          <w:b/>
          <w:bCs/>
          <w:i/>
          <w:iCs/>
          <w:sz w:val="20"/>
          <w:szCs w:val="20"/>
        </w:rPr>
        <w:t xml:space="preserve"> </w:t>
      </w:r>
    </w:p>
    <w:p w:rsidR="00E95481" w:rsidRPr="00E95481" w:rsidRDefault="00E95481" w:rsidP="00E95481">
      <w:pPr>
        <w:pStyle w:val="Default"/>
        <w:jc w:val="both"/>
        <w:rPr>
          <w:sz w:val="20"/>
          <w:szCs w:val="20"/>
        </w:rPr>
      </w:pPr>
      <w:r w:rsidRPr="00E95481">
        <w:rPr>
          <w:sz w:val="20"/>
          <w:szCs w:val="20"/>
        </w:rPr>
        <w:t xml:space="preserve">Факс: </w:t>
      </w:r>
      <w:r w:rsidRPr="00E95481">
        <w:rPr>
          <w:rFonts w:ascii="Arial" w:hAnsi="Arial" w:cs="Arial"/>
          <w:b/>
          <w:bCs/>
          <w:i/>
          <w:iCs/>
          <w:sz w:val="20"/>
          <w:szCs w:val="20"/>
        </w:rPr>
        <w:t>(495) 956-09-38.</w:t>
      </w:r>
      <w:r w:rsidRPr="00E95481">
        <w:rPr>
          <w:b/>
          <w:bCs/>
          <w:i/>
          <w:iCs/>
          <w:sz w:val="20"/>
          <w:szCs w:val="20"/>
        </w:rPr>
        <w:t xml:space="preserve"> </w:t>
      </w:r>
    </w:p>
    <w:p w:rsidR="00E95481" w:rsidRPr="00E95481" w:rsidRDefault="00E95481" w:rsidP="00E95481">
      <w:pPr>
        <w:pStyle w:val="Default"/>
        <w:jc w:val="both"/>
        <w:rPr>
          <w:sz w:val="20"/>
          <w:szCs w:val="20"/>
        </w:rPr>
      </w:pPr>
      <w:r w:rsidRPr="00E95481">
        <w:rPr>
          <w:sz w:val="20"/>
          <w:szCs w:val="20"/>
        </w:rPr>
        <w:t xml:space="preserve">Адрес электронной почты: </w:t>
      </w:r>
      <w:r w:rsidRPr="00E95481">
        <w:rPr>
          <w:rFonts w:ascii="Arial" w:hAnsi="Arial" w:cs="Arial"/>
          <w:b/>
          <w:bCs/>
          <w:i/>
          <w:iCs/>
          <w:sz w:val="20"/>
          <w:szCs w:val="20"/>
        </w:rPr>
        <w:t>info@nsd.ru.</w:t>
      </w:r>
      <w:r w:rsidRPr="00E95481">
        <w:rPr>
          <w:b/>
          <w:bCs/>
          <w:i/>
          <w:iCs/>
          <w:sz w:val="20"/>
          <w:szCs w:val="20"/>
        </w:rPr>
        <w:t xml:space="preserve"> </w:t>
      </w:r>
    </w:p>
    <w:p w:rsidR="00E95481" w:rsidRPr="00E95481" w:rsidRDefault="00E95481" w:rsidP="00E95481">
      <w:pPr>
        <w:pStyle w:val="Default"/>
        <w:jc w:val="both"/>
        <w:rPr>
          <w:sz w:val="20"/>
          <w:szCs w:val="20"/>
        </w:rPr>
      </w:pPr>
      <w:r w:rsidRPr="00E95481">
        <w:rPr>
          <w:sz w:val="20"/>
          <w:szCs w:val="20"/>
        </w:rPr>
        <w:t xml:space="preserve">ОГРН: </w:t>
      </w:r>
      <w:r w:rsidRPr="00E95481">
        <w:rPr>
          <w:rFonts w:ascii="Arial" w:hAnsi="Arial" w:cs="Arial"/>
          <w:b/>
          <w:bCs/>
          <w:i/>
          <w:iCs/>
          <w:sz w:val="20"/>
          <w:szCs w:val="20"/>
        </w:rPr>
        <w:t>1027739132563.</w:t>
      </w:r>
      <w:r w:rsidRPr="00E95481">
        <w:rPr>
          <w:b/>
          <w:bCs/>
          <w:i/>
          <w:iCs/>
          <w:sz w:val="20"/>
          <w:szCs w:val="20"/>
        </w:rPr>
        <w:t xml:space="preserve"> </w:t>
      </w:r>
    </w:p>
    <w:p w:rsidR="00E95481" w:rsidRPr="00E95481" w:rsidRDefault="00E95481" w:rsidP="00E95481">
      <w:pPr>
        <w:pStyle w:val="Default"/>
        <w:jc w:val="both"/>
        <w:rPr>
          <w:sz w:val="20"/>
          <w:szCs w:val="20"/>
        </w:rPr>
      </w:pPr>
      <w:r w:rsidRPr="00E95481">
        <w:rPr>
          <w:sz w:val="20"/>
          <w:szCs w:val="20"/>
        </w:rPr>
        <w:t xml:space="preserve">ИНН/КПП: </w:t>
      </w:r>
      <w:r w:rsidRPr="00E95481">
        <w:rPr>
          <w:rFonts w:ascii="Arial" w:hAnsi="Arial" w:cs="Arial"/>
          <w:b/>
          <w:bCs/>
          <w:i/>
          <w:iCs/>
          <w:sz w:val="20"/>
          <w:szCs w:val="20"/>
        </w:rPr>
        <w:t>7702165310/775001001.</w:t>
      </w:r>
      <w:r w:rsidRPr="00E95481">
        <w:rPr>
          <w:b/>
          <w:bCs/>
          <w:i/>
          <w:iCs/>
          <w:sz w:val="20"/>
          <w:szCs w:val="20"/>
        </w:rPr>
        <w:t xml:space="preserve"> </w:t>
      </w:r>
    </w:p>
    <w:p w:rsidR="00E95481" w:rsidRPr="00E95481" w:rsidRDefault="00E95481" w:rsidP="00E95481">
      <w:pPr>
        <w:pStyle w:val="Default"/>
        <w:jc w:val="both"/>
        <w:rPr>
          <w:sz w:val="20"/>
          <w:szCs w:val="20"/>
        </w:rPr>
      </w:pPr>
      <w:r w:rsidRPr="00E95481">
        <w:rPr>
          <w:sz w:val="20"/>
          <w:szCs w:val="20"/>
        </w:rPr>
        <w:t xml:space="preserve">Лицензия профессионального участника рынка ценных бумаг на осуществление депозитарной деятельности: </w:t>
      </w:r>
    </w:p>
    <w:p w:rsidR="00E95481" w:rsidRPr="00E95481" w:rsidRDefault="00E95481" w:rsidP="00E95481">
      <w:pPr>
        <w:pStyle w:val="Default"/>
        <w:jc w:val="both"/>
        <w:rPr>
          <w:sz w:val="20"/>
          <w:szCs w:val="20"/>
        </w:rPr>
      </w:pPr>
      <w:r w:rsidRPr="00E95481">
        <w:rPr>
          <w:sz w:val="20"/>
          <w:szCs w:val="20"/>
        </w:rPr>
        <w:t xml:space="preserve">номер: </w:t>
      </w:r>
      <w:r w:rsidRPr="00E95481">
        <w:rPr>
          <w:rFonts w:ascii="Arial" w:hAnsi="Arial" w:cs="Arial"/>
          <w:b/>
          <w:bCs/>
          <w:i/>
          <w:iCs/>
          <w:sz w:val="20"/>
          <w:szCs w:val="20"/>
        </w:rPr>
        <w:t>177-12042-000100;</w:t>
      </w:r>
      <w:r w:rsidRPr="00E95481">
        <w:rPr>
          <w:b/>
          <w:bCs/>
          <w:i/>
          <w:iCs/>
          <w:sz w:val="20"/>
          <w:szCs w:val="20"/>
        </w:rPr>
        <w:t xml:space="preserve"> </w:t>
      </w:r>
    </w:p>
    <w:p w:rsidR="00E95481" w:rsidRPr="00E95481" w:rsidRDefault="00E95481" w:rsidP="00E95481">
      <w:pPr>
        <w:pStyle w:val="Default"/>
        <w:jc w:val="both"/>
        <w:rPr>
          <w:sz w:val="20"/>
          <w:szCs w:val="20"/>
        </w:rPr>
      </w:pPr>
      <w:r w:rsidRPr="00E95481">
        <w:rPr>
          <w:sz w:val="20"/>
          <w:szCs w:val="20"/>
        </w:rPr>
        <w:t xml:space="preserve">дата выдачи: </w:t>
      </w:r>
      <w:r w:rsidRPr="00E95481">
        <w:rPr>
          <w:rFonts w:ascii="Arial" w:hAnsi="Arial" w:cs="Arial"/>
          <w:b/>
          <w:bCs/>
          <w:i/>
          <w:iCs/>
          <w:sz w:val="20"/>
          <w:szCs w:val="20"/>
        </w:rPr>
        <w:t>19 февраля 2009г.;</w:t>
      </w:r>
      <w:r w:rsidRPr="00E95481">
        <w:rPr>
          <w:b/>
          <w:bCs/>
          <w:i/>
          <w:iCs/>
          <w:sz w:val="20"/>
          <w:szCs w:val="20"/>
        </w:rPr>
        <w:t xml:space="preserve"> </w:t>
      </w:r>
    </w:p>
    <w:p w:rsidR="00E95481" w:rsidRPr="00E95481" w:rsidRDefault="00E95481" w:rsidP="00E95481">
      <w:pPr>
        <w:pStyle w:val="Default"/>
        <w:jc w:val="both"/>
        <w:rPr>
          <w:sz w:val="20"/>
          <w:szCs w:val="20"/>
        </w:rPr>
      </w:pPr>
      <w:r w:rsidRPr="00E95481">
        <w:rPr>
          <w:sz w:val="20"/>
          <w:szCs w:val="20"/>
        </w:rPr>
        <w:t xml:space="preserve">срок действия лицензии: </w:t>
      </w:r>
      <w:r w:rsidRPr="00E95481">
        <w:rPr>
          <w:rFonts w:ascii="Arial" w:hAnsi="Arial" w:cs="Arial"/>
          <w:b/>
          <w:bCs/>
          <w:i/>
          <w:iCs/>
          <w:sz w:val="20"/>
          <w:szCs w:val="20"/>
        </w:rPr>
        <w:t>без ограничения срока действия;</w:t>
      </w:r>
      <w:r w:rsidRPr="00E95481">
        <w:rPr>
          <w:b/>
          <w:bCs/>
          <w:i/>
          <w:iCs/>
          <w:sz w:val="20"/>
          <w:szCs w:val="20"/>
        </w:rPr>
        <w:t xml:space="preserve"> </w:t>
      </w:r>
    </w:p>
    <w:p w:rsidR="00E95481" w:rsidRPr="00E95481" w:rsidRDefault="00E95481" w:rsidP="00E95481">
      <w:pPr>
        <w:pStyle w:val="Default"/>
        <w:jc w:val="both"/>
        <w:rPr>
          <w:sz w:val="20"/>
          <w:szCs w:val="20"/>
        </w:rPr>
      </w:pPr>
      <w:r w:rsidRPr="00E95481">
        <w:rPr>
          <w:sz w:val="20"/>
          <w:szCs w:val="20"/>
        </w:rPr>
        <w:t xml:space="preserve">орган, выдавший лицензию: </w:t>
      </w:r>
      <w:r w:rsidRPr="00E95481">
        <w:rPr>
          <w:rFonts w:ascii="Arial" w:hAnsi="Arial" w:cs="Arial"/>
          <w:b/>
          <w:bCs/>
          <w:i/>
          <w:iCs/>
          <w:sz w:val="20"/>
          <w:szCs w:val="20"/>
        </w:rPr>
        <w:t>Центральный Банк Российской Федерации (Банк России).</w:t>
      </w:r>
      <w:r w:rsidRPr="00E95481">
        <w:rPr>
          <w:b/>
          <w:bCs/>
          <w:i/>
          <w:iCs/>
          <w:sz w:val="20"/>
          <w:szCs w:val="20"/>
        </w:rPr>
        <w:t xml:space="preserve"> </w:t>
      </w:r>
    </w:p>
    <w:p w:rsidR="00E95481" w:rsidRPr="00E95481" w:rsidRDefault="00E95481" w:rsidP="00E95481">
      <w:pPr>
        <w:pStyle w:val="Default"/>
        <w:jc w:val="both"/>
        <w:rPr>
          <w:rFonts w:ascii="Arial" w:hAnsi="Arial" w:cs="Arial"/>
          <w:sz w:val="20"/>
          <w:szCs w:val="20"/>
        </w:rPr>
      </w:pPr>
      <w:r w:rsidRPr="00E95481">
        <w:rPr>
          <w:rFonts w:ascii="Arial" w:hAnsi="Arial" w:cs="Arial"/>
          <w:b/>
          <w:bCs/>
          <w:i/>
          <w:iCs/>
          <w:sz w:val="20"/>
          <w:szCs w:val="20"/>
        </w:rPr>
        <w:t xml:space="preserve">Каждый отдельный выпуск Биржевых облигаций, размещаемых в рамках Программы биржевых облигаций, оформляется отдельным сертификатом (далее – «Сертификат»), подлежащим обязательному централизованному хранению в Небанковской кредитной организации закрытом акционерном обществе «Национальный расчетный депозитарий» (далее – «НРД»). </w:t>
      </w:r>
    </w:p>
    <w:p w:rsidR="00E95481" w:rsidRPr="00E95481" w:rsidRDefault="00E95481" w:rsidP="00E95481">
      <w:pPr>
        <w:pStyle w:val="Default"/>
        <w:jc w:val="both"/>
        <w:rPr>
          <w:rFonts w:ascii="Arial" w:hAnsi="Arial" w:cs="Arial"/>
          <w:sz w:val="20"/>
          <w:szCs w:val="20"/>
        </w:rPr>
      </w:pPr>
      <w:r w:rsidRPr="00E95481">
        <w:rPr>
          <w:rFonts w:ascii="Arial" w:hAnsi="Arial" w:cs="Arial"/>
          <w:b/>
          <w:bCs/>
          <w:i/>
          <w:iCs/>
          <w:sz w:val="20"/>
          <w:szCs w:val="20"/>
        </w:rPr>
        <w:t xml:space="preserve">До даты начала размещения отдельного выпуска Биржевых облигаций, размещаемых в рамках Программы биржевых облигаций, </w:t>
      </w:r>
      <w:r w:rsidRPr="00E95481">
        <w:rPr>
          <w:rFonts w:ascii="Arial" w:hAnsi="Arial" w:cs="Arial"/>
          <w:b/>
          <w:i/>
          <w:iCs/>
          <w:sz w:val="20"/>
          <w:szCs w:val="20"/>
        </w:rPr>
        <w:t>Закрытое акционерное общество Специализированное Строительно-Монтажное Объединение «ЛенСпецСМУ»</w:t>
      </w:r>
      <w:r w:rsidRPr="00E95481">
        <w:rPr>
          <w:rFonts w:ascii="Arial" w:hAnsi="Arial" w:cs="Arial"/>
          <w:b/>
          <w:bCs/>
          <w:i/>
          <w:iCs/>
          <w:sz w:val="20"/>
          <w:szCs w:val="20"/>
        </w:rPr>
        <w:t xml:space="preserve"> (далее – «Эмитент») передает Сертификат на хранение в НРД. Выдача отдельных сертификатов владельцам Биржевых облигаций не предусмотрена. Владельцы Биржевых облигаций не вправе требовать выдачи Сертификата на руки. </w:t>
      </w:r>
    </w:p>
    <w:p w:rsidR="00E95481" w:rsidRPr="00E95481" w:rsidRDefault="00E95481" w:rsidP="00E95481">
      <w:pPr>
        <w:pStyle w:val="Default"/>
        <w:jc w:val="both"/>
        <w:rPr>
          <w:rFonts w:ascii="Arial" w:hAnsi="Arial" w:cs="Arial"/>
          <w:sz w:val="20"/>
          <w:szCs w:val="20"/>
          <w:u w:val="single"/>
        </w:rPr>
      </w:pPr>
      <w:r w:rsidRPr="00E95481">
        <w:rPr>
          <w:rFonts w:ascii="Arial" w:hAnsi="Arial" w:cs="Arial"/>
          <w:b/>
          <w:bCs/>
          <w:i/>
          <w:iCs/>
          <w:sz w:val="20"/>
          <w:szCs w:val="20"/>
          <w:u w:val="single"/>
        </w:rPr>
        <w:t xml:space="preserve">Образец Сертификата будет прилагаться к Условиям отдельного выпуска. </w:t>
      </w:r>
    </w:p>
    <w:p w:rsidR="00E95481" w:rsidRPr="00E95481" w:rsidRDefault="00E95481" w:rsidP="00E95481">
      <w:pPr>
        <w:pStyle w:val="ConsPlusNormal"/>
        <w:ind w:firstLine="540"/>
        <w:jc w:val="both"/>
        <w:rPr>
          <w:b/>
          <w:i/>
          <w:iCs/>
        </w:rPr>
      </w:pPr>
      <w:r w:rsidRPr="00E95481">
        <w:rPr>
          <w:b/>
          <w:i/>
          <w:iCs/>
        </w:rPr>
        <w:t xml:space="preserve">Учет и удостоверение прав на Биржевые облигации, учет и удостоверение передачи Биржевых облигаций, включая случаи обременения Биржевых облигаций обязательствами, осуществляется в НРД и иных депозитариях, осуществляющих учет прав на Биржевые облигации, за исключением НРД (далее именуемые совместно - «Депозитарии», и по отдельности – «Депозитарий»). </w:t>
      </w:r>
    </w:p>
    <w:p w:rsidR="00E95481" w:rsidRPr="00E95481" w:rsidRDefault="00E95481" w:rsidP="00E95481">
      <w:pPr>
        <w:pStyle w:val="ConsPlusNormal"/>
        <w:ind w:firstLine="540"/>
        <w:jc w:val="both"/>
        <w:rPr>
          <w:b/>
          <w:i/>
          <w:iCs/>
        </w:rPr>
      </w:pPr>
      <w:r w:rsidRPr="00E95481">
        <w:rPr>
          <w:b/>
          <w:i/>
          <w:iCs/>
        </w:rPr>
        <w:t xml:space="preserve">Права владельцев на Биржевые облигации удостоверяются Сертификатом и записями по счетам депо в НРД или Депозитариях. </w:t>
      </w:r>
    </w:p>
    <w:p w:rsidR="00E95481" w:rsidRPr="00E95481" w:rsidRDefault="00E95481" w:rsidP="00E95481">
      <w:pPr>
        <w:pStyle w:val="ConsPlusNormal"/>
        <w:ind w:firstLine="540"/>
        <w:jc w:val="both"/>
        <w:rPr>
          <w:b/>
          <w:i/>
          <w:iCs/>
        </w:rPr>
      </w:pPr>
      <w:r w:rsidRPr="00E95481">
        <w:rPr>
          <w:b/>
          <w:i/>
          <w:iCs/>
        </w:rPr>
        <w:t xml:space="preserve">Права на Биржевые облигации учитываются НРД и Депозитариями, действующими на основании соответствующих лицензий и договоров с владельцами Биржевых облигаций, в виде записей по счетам депо, открытых владельцами Биржевых облигаций в НРД и Депозитариях. </w:t>
      </w:r>
    </w:p>
    <w:p w:rsidR="00E95481" w:rsidRPr="00E95481" w:rsidRDefault="00E95481" w:rsidP="00E95481">
      <w:pPr>
        <w:pStyle w:val="ConsPlusNormal"/>
        <w:ind w:firstLine="540"/>
        <w:jc w:val="both"/>
        <w:rPr>
          <w:b/>
          <w:i/>
          <w:iCs/>
        </w:rPr>
      </w:pPr>
      <w:r w:rsidRPr="00E95481">
        <w:rPr>
          <w:b/>
          <w:i/>
          <w:iCs/>
        </w:rPr>
        <w:t xml:space="preserve">Права собственности на Биржевые облигации подтверждаются выписками по счетам депо, выдаваемыми НРД и Депозитариями. </w:t>
      </w:r>
    </w:p>
    <w:p w:rsidR="00E95481" w:rsidRPr="00E95481" w:rsidRDefault="00E95481" w:rsidP="00E95481">
      <w:pPr>
        <w:pStyle w:val="ConsPlusNormal"/>
        <w:ind w:firstLine="540"/>
        <w:jc w:val="both"/>
        <w:rPr>
          <w:b/>
          <w:i/>
          <w:iCs/>
        </w:rPr>
      </w:pPr>
      <w:r w:rsidRPr="00E95481">
        <w:rPr>
          <w:b/>
          <w:i/>
          <w:iCs/>
        </w:rPr>
        <w:t xml:space="preserve">Право собственности на Биржевые облигации переходит от одного лица к другому в момент внесения приходной записи по счету депо приобретателя Биржевых облигаций в НРД и Депозитариях. </w:t>
      </w:r>
    </w:p>
    <w:p w:rsidR="00E95481" w:rsidRPr="00E95481" w:rsidRDefault="00E95481" w:rsidP="00E95481">
      <w:pPr>
        <w:pStyle w:val="ConsPlusNormal"/>
        <w:ind w:firstLine="540"/>
        <w:jc w:val="both"/>
        <w:rPr>
          <w:b/>
          <w:i/>
          <w:iCs/>
        </w:rPr>
      </w:pPr>
      <w:r w:rsidRPr="00E95481">
        <w:rPr>
          <w:b/>
          <w:i/>
          <w:iCs/>
        </w:rPr>
        <w:t xml:space="preserve">Списание Биржевых облигаций выпуска со счетов депо при погашении всех Биржевых облигаций этого выпуска производится после исполнения Эмитентом всех обязательств перед владельцами Биржевых облигаций по выплате купонного дохода за все купонные периоды и номинальной стоимости Биржевых облигаций. </w:t>
      </w:r>
    </w:p>
    <w:p w:rsidR="00E95481" w:rsidRPr="00E95481" w:rsidRDefault="00E95481" w:rsidP="00E95481">
      <w:pPr>
        <w:pStyle w:val="ConsPlusNormal"/>
        <w:ind w:firstLine="540"/>
        <w:jc w:val="both"/>
        <w:rPr>
          <w:b/>
          <w:i/>
          <w:iCs/>
        </w:rPr>
      </w:pPr>
      <w:r w:rsidRPr="00E95481">
        <w:rPr>
          <w:b/>
          <w:i/>
          <w:iCs/>
        </w:rPr>
        <w:t xml:space="preserve">Снятие Сертификата с хранения производится после списания всех Биржевых облигаций выпуска со счетов в НРД. </w:t>
      </w:r>
    </w:p>
    <w:p w:rsidR="00E95481" w:rsidRPr="00E95481" w:rsidRDefault="00E95481" w:rsidP="00E95481">
      <w:pPr>
        <w:pStyle w:val="ConsPlusNormal"/>
        <w:ind w:firstLine="540"/>
        <w:jc w:val="both"/>
        <w:rPr>
          <w:b/>
          <w:i/>
          <w:iCs/>
        </w:rPr>
      </w:pPr>
      <w:r w:rsidRPr="00E95481">
        <w:rPr>
          <w:b/>
          <w:i/>
          <w:iCs/>
        </w:rPr>
        <w:t xml:space="preserve">Порядок учета и перехода прав на документарные эмиссионные ценные бумаги с обязательным централизованным хранением регулируется Федеральным законом «О рынке ценных бумаг» от 22.04.1996 № 39-ФЗ (далее – Федеральный закон «О рынке ценных бумаг») и «Положением о депозитарной деятельности в Российской Федерации», утвержденным Постановлением ФКЦБ России от 16.10.1997 № 36, а также иными нормативными правовыми актами и внутренними документами НРД и Депозитариев. </w:t>
      </w:r>
    </w:p>
    <w:p w:rsidR="00E95481" w:rsidRPr="00E95481" w:rsidRDefault="00E95481" w:rsidP="00E95481">
      <w:pPr>
        <w:pStyle w:val="ConsPlusNormal"/>
        <w:ind w:firstLine="540"/>
        <w:jc w:val="both"/>
        <w:rPr>
          <w:b/>
          <w:i/>
          <w:iCs/>
        </w:rPr>
      </w:pPr>
      <w:r w:rsidRPr="00E95481">
        <w:rPr>
          <w:b/>
          <w:i/>
          <w:iCs/>
        </w:rPr>
        <w:t xml:space="preserve">В случае изменения действующего законодательства Российской Федерации, в том числе  нормативных актов в сфере финансовых рынков, порядок учета и перехода прав на Биржевые облигации, а также порядок осуществления выплат по ним будут регулироваться с учетом изменившихся требований законодательства и/или нормативных актов в сфере финансовых рынков. </w:t>
      </w:r>
    </w:p>
    <w:p w:rsidR="00886DC8" w:rsidRPr="00886DC8" w:rsidRDefault="00886DC8" w:rsidP="00886DC8">
      <w:pPr>
        <w:widowControl/>
        <w:spacing w:before="0" w:after="0"/>
        <w:jc w:val="both"/>
        <w:rPr>
          <w:rFonts w:eastAsiaTheme="minorHAnsi"/>
          <w:lang w:eastAsia="en-US"/>
        </w:rPr>
      </w:pPr>
    </w:p>
    <w:p w:rsidR="00886DC8" w:rsidRPr="003F1D31" w:rsidRDefault="00886DC8" w:rsidP="003F1D31">
      <w:pPr>
        <w:pStyle w:val="ConsPlusNormal"/>
        <w:ind w:firstLine="540"/>
        <w:jc w:val="both"/>
        <w:outlineLvl w:val="1"/>
        <w:rPr>
          <w:b/>
          <w:i/>
          <w:sz w:val="28"/>
          <w:szCs w:val="28"/>
        </w:rPr>
      </w:pPr>
      <w:bookmarkStart w:id="103" w:name="_Toc448251198"/>
      <w:r w:rsidRPr="003F1D31">
        <w:rPr>
          <w:b/>
          <w:i/>
          <w:sz w:val="28"/>
          <w:szCs w:val="28"/>
        </w:rPr>
        <w:t>8.4. Номинальная стоимость каждой ценной бумаги выпуска (дополнительного выпуска)</w:t>
      </w:r>
      <w:bookmarkEnd w:id="103"/>
    </w:p>
    <w:p w:rsidR="00B12A39" w:rsidRDefault="00B12A39" w:rsidP="00886DC8">
      <w:pPr>
        <w:widowControl/>
        <w:spacing w:before="0" w:after="0"/>
        <w:ind w:firstLine="540"/>
        <w:jc w:val="both"/>
        <w:rPr>
          <w:rFonts w:eastAsiaTheme="minorHAnsi"/>
          <w:lang w:eastAsia="en-US"/>
        </w:rPr>
      </w:pPr>
    </w:p>
    <w:p w:rsidR="00B12A39" w:rsidRPr="00B12A39" w:rsidRDefault="00B12A39" w:rsidP="00B12A39">
      <w:pPr>
        <w:pStyle w:val="ConsPlusNormal"/>
        <w:ind w:firstLine="540"/>
        <w:jc w:val="both"/>
        <w:rPr>
          <w:b/>
          <w:bCs/>
        </w:rPr>
      </w:pPr>
      <w:r w:rsidRPr="00B12A39">
        <w:rPr>
          <w:b/>
          <w:i/>
          <w:iCs/>
        </w:rPr>
        <w:t>Минимальная и максимальная номинальная стоимость</w:t>
      </w:r>
      <w:r>
        <w:rPr>
          <w:b/>
          <w:i/>
          <w:iCs/>
        </w:rPr>
        <w:t xml:space="preserve"> Биржевых</w:t>
      </w:r>
      <w:r w:rsidRPr="00B12A39">
        <w:rPr>
          <w:b/>
          <w:i/>
          <w:iCs/>
        </w:rPr>
        <w:t xml:space="preserve"> облигаций в условиях Программы биржевых облигаций не определяется.</w:t>
      </w:r>
    </w:p>
    <w:p w:rsidR="00B12A39" w:rsidRPr="00B12A39" w:rsidRDefault="00B12A39" w:rsidP="00B12A39">
      <w:pPr>
        <w:pStyle w:val="Default"/>
        <w:jc w:val="both"/>
        <w:rPr>
          <w:b/>
          <w:sz w:val="20"/>
          <w:szCs w:val="20"/>
        </w:rPr>
      </w:pPr>
    </w:p>
    <w:p w:rsidR="00B12A39" w:rsidRPr="00B12A39" w:rsidRDefault="00B12A39" w:rsidP="00B12A39">
      <w:pPr>
        <w:pStyle w:val="ConsPlusNormal"/>
        <w:ind w:firstLine="540"/>
        <w:jc w:val="both"/>
        <w:rPr>
          <w:b/>
          <w:bCs/>
        </w:rPr>
      </w:pPr>
      <w:r w:rsidRPr="00B12A39">
        <w:rPr>
          <w:b/>
          <w:i/>
          <w:iCs/>
          <w:u w:val="single"/>
        </w:rPr>
        <w:t>Номинальная стоимость каждой Биржевой облигации, размещаемой в рамках Программы биржевых облигаций, будет установлена в соответствующих Условиях выпуска</w:t>
      </w:r>
      <w:r w:rsidRPr="00B12A39">
        <w:rPr>
          <w:b/>
          <w:i/>
          <w:iCs/>
        </w:rPr>
        <w:t xml:space="preserve">. </w:t>
      </w:r>
    </w:p>
    <w:p w:rsidR="00B12A39" w:rsidRDefault="00B12A39" w:rsidP="00B12A39">
      <w:pPr>
        <w:pStyle w:val="Default"/>
        <w:jc w:val="both"/>
        <w:rPr>
          <w:sz w:val="22"/>
          <w:szCs w:val="22"/>
        </w:rPr>
      </w:pPr>
    </w:p>
    <w:p w:rsidR="00886DC8" w:rsidRPr="003F1D31" w:rsidRDefault="00886DC8" w:rsidP="003F1D31">
      <w:pPr>
        <w:pStyle w:val="ConsPlusNormal"/>
        <w:ind w:firstLine="540"/>
        <w:jc w:val="both"/>
        <w:outlineLvl w:val="1"/>
        <w:rPr>
          <w:b/>
          <w:i/>
          <w:sz w:val="28"/>
          <w:szCs w:val="28"/>
        </w:rPr>
      </w:pPr>
      <w:bookmarkStart w:id="104" w:name="_Toc448251199"/>
      <w:r w:rsidRPr="003F1D31">
        <w:rPr>
          <w:b/>
          <w:i/>
          <w:sz w:val="28"/>
          <w:szCs w:val="28"/>
        </w:rPr>
        <w:t>8.5. Количество ценных бумаг выпуска (дополнительного выпуска)</w:t>
      </w:r>
      <w:bookmarkEnd w:id="104"/>
    </w:p>
    <w:p w:rsidR="0096459E" w:rsidRDefault="0096459E" w:rsidP="00886DC8">
      <w:pPr>
        <w:widowControl/>
        <w:spacing w:before="0" w:after="0"/>
        <w:ind w:firstLine="540"/>
        <w:jc w:val="both"/>
        <w:rPr>
          <w:rFonts w:eastAsiaTheme="minorHAnsi"/>
          <w:lang w:eastAsia="en-US"/>
        </w:rPr>
      </w:pPr>
    </w:p>
    <w:p w:rsidR="007B573D" w:rsidRPr="007B573D" w:rsidRDefault="007B573D" w:rsidP="007B573D">
      <w:pPr>
        <w:pStyle w:val="Default"/>
        <w:ind w:firstLine="567"/>
        <w:jc w:val="both"/>
        <w:rPr>
          <w:rFonts w:ascii="Arial" w:hAnsi="Arial" w:cs="Arial"/>
          <w:b/>
          <w:bCs/>
          <w:i/>
          <w:iCs/>
          <w:sz w:val="20"/>
          <w:szCs w:val="20"/>
        </w:rPr>
      </w:pPr>
      <w:r w:rsidRPr="007B573D">
        <w:rPr>
          <w:rFonts w:ascii="Arial" w:hAnsi="Arial" w:cs="Arial"/>
          <w:b/>
          <w:bCs/>
          <w:i/>
          <w:iCs/>
          <w:sz w:val="20"/>
          <w:szCs w:val="20"/>
        </w:rPr>
        <w:t>Минимальное и (или) максимальное количество Биржевых облигаций отдельного выпуска в условиях Программы биржевых облигаций не определяется.</w:t>
      </w:r>
    </w:p>
    <w:p w:rsidR="007B573D" w:rsidRPr="007B573D" w:rsidRDefault="007B573D" w:rsidP="007B573D">
      <w:pPr>
        <w:pStyle w:val="Default"/>
        <w:ind w:firstLine="567"/>
        <w:jc w:val="both"/>
        <w:rPr>
          <w:rFonts w:ascii="Arial" w:hAnsi="Arial" w:cs="Arial"/>
          <w:b/>
          <w:bCs/>
          <w:i/>
          <w:iCs/>
          <w:sz w:val="20"/>
          <w:szCs w:val="20"/>
        </w:rPr>
      </w:pPr>
    </w:p>
    <w:p w:rsidR="007B573D" w:rsidRPr="007B573D" w:rsidRDefault="007B573D" w:rsidP="007B573D">
      <w:pPr>
        <w:pStyle w:val="Default"/>
        <w:ind w:firstLine="567"/>
        <w:jc w:val="both"/>
        <w:rPr>
          <w:rFonts w:ascii="Arial" w:hAnsi="Arial" w:cs="Arial"/>
          <w:sz w:val="20"/>
          <w:szCs w:val="20"/>
        </w:rPr>
      </w:pPr>
      <w:r w:rsidRPr="007B573D">
        <w:rPr>
          <w:rFonts w:ascii="Arial" w:hAnsi="Arial" w:cs="Arial"/>
          <w:b/>
          <w:bCs/>
          <w:i/>
          <w:iCs/>
          <w:sz w:val="20"/>
          <w:szCs w:val="20"/>
          <w:u w:val="single"/>
        </w:rPr>
        <w:t>Количество Биржевых облигаций выпуска, размещаемых в рамках Программы биржевых облигаций, будет установлено в соответствующих Условиях выпуска</w:t>
      </w:r>
      <w:r w:rsidRPr="007B573D">
        <w:rPr>
          <w:rFonts w:ascii="Arial" w:hAnsi="Arial" w:cs="Arial"/>
          <w:b/>
          <w:bCs/>
          <w:i/>
          <w:iCs/>
          <w:sz w:val="20"/>
          <w:szCs w:val="20"/>
        </w:rPr>
        <w:t xml:space="preserve">. </w:t>
      </w:r>
    </w:p>
    <w:p w:rsidR="007B573D" w:rsidRPr="007B573D" w:rsidRDefault="007B573D" w:rsidP="007B573D">
      <w:pPr>
        <w:pStyle w:val="Default"/>
        <w:jc w:val="both"/>
        <w:rPr>
          <w:rFonts w:ascii="Arial" w:hAnsi="Arial" w:cs="Arial"/>
          <w:b/>
          <w:bCs/>
          <w:i/>
          <w:iCs/>
          <w:sz w:val="20"/>
          <w:szCs w:val="20"/>
        </w:rPr>
      </w:pPr>
    </w:p>
    <w:p w:rsidR="007B573D" w:rsidRPr="007B573D" w:rsidRDefault="007B573D" w:rsidP="007B573D">
      <w:pPr>
        <w:pStyle w:val="Default"/>
        <w:ind w:firstLine="567"/>
        <w:jc w:val="both"/>
        <w:rPr>
          <w:rFonts w:ascii="Arial" w:hAnsi="Arial" w:cs="Arial"/>
          <w:sz w:val="20"/>
          <w:szCs w:val="20"/>
        </w:rPr>
      </w:pPr>
      <w:r w:rsidRPr="007B573D">
        <w:rPr>
          <w:rFonts w:ascii="Arial" w:hAnsi="Arial" w:cs="Arial"/>
          <w:b/>
          <w:bCs/>
          <w:i/>
          <w:iCs/>
          <w:sz w:val="20"/>
          <w:szCs w:val="20"/>
        </w:rPr>
        <w:t xml:space="preserve">Выпуск Биржевых облигаций в рамках Программы биржевых облигаций не предполагается размещать траншами. </w:t>
      </w:r>
    </w:p>
    <w:p w:rsidR="00886DC8" w:rsidRPr="003F1D31" w:rsidRDefault="00886DC8" w:rsidP="003F1D31">
      <w:pPr>
        <w:pStyle w:val="ConsPlusNormal"/>
        <w:ind w:firstLine="540"/>
        <w:jc w:val="both"/>
        <w:outlineLvl w:val="1"/>
        <w:rPr>
          <w:b/>
          <w:i/>
          <w:sz w:val="28"/>
          <w:szCs w:val="28"/>
        </w:rPr>
      </w:pPr>
      <w:bookmarkStart w:id="105" w:name="_Toc448251200"/>
      <w:r w:rsidRPr="003F1D31">
        <w:rPr>
          <w:b/>
          <w:i/>
          <w:sz w:val="28"/>
          <w:szCs w:val="28"/>
        </w:rPr>
        <w:t>8.6. Общее количество ценных бумаг данного выпуска, размещенных ранее</w:t>
      </w:r>
      <w:bookmarkEnd w:id="105"/>
    </w:p>
    <w:p w:rsidR="00240EB9" w:rsidRDefault="00240EB9" w:rsidP="008B1C98">
      <w:pPr>
        <w:pStyle w:val="ConsPlusNormal"/>
        <w:ind w:firstLine="540"/>
        <w:jc w:val="both"/>
        <w:rPr>
          <w:b/>
          <w:i/>
          <w:iCs/>
          <w:u w:val="single"/>
        </w:rPr>
      </w:pPr>
    </w:p>
    <w:p w:rsidR="00240EB9" w:rsidRPr="00240EB9" w:rsidRDefault="00240EB9" w:rsidP="00240EB9">
      <w:pPr>
        <w:spacing w:after="0"/>
        <w:ind w:firstLine="540"/>
        <w:jc w:val="both"/>
        <w:rPr>
          <w:rFonts w:ascii="Arial" w:hAnsi="Arial" w:cs="Arial"/>
          <w:b/>
          <w:bCs/>
          <w:i/>
          <w:iCs/>
        </w:rPr>
      </w:pPr>
      <w:r w:rsidRPr="00240EB9">
        <w:rPr>
          <w:rFonts w:ascii="Arial" w:hAnsi="Arial" w:cs="Arial"/>
          <w:b/>
          <w:bCs/>
          <w:i/>
          <w:iCs/>
        </w:rPr>
        <w:t>Максимальная сумма номинальных стоимостей (максимальный объем по номинальной стоимости) биржевых облигаций, которые могут быть размещены в рамках Программы биржевых облигаций, составляет 15 000 000 000 (Пятнадцать миллиардов) рублей включительно.</w:t>
      </w:r>
    </w:p>
    <w:p w:rsidR="00240EB9" w:rsidRPr="00240EB9" w:rsidRDefault="00240EB9" w:rsidP="00240EB9">
      <w:pPr>
        <w:pStyle w:val="Default"/>
        <w:jc w:val="both"/>
        <w:rPr>
          <w:rFonts w:ascii="Arial" w:hAnsi="Arial" w:cs="Arial"/>
          <w:b/>
          <w:bCs/>
          <w:i/>
          <w:iCs/>
          <w:sz w:val="20"/>
          <w:szCs w:val="20"/>
        </w:rPr>
      </w:pPr>
    </w:p>
    <w:p w:rsidR="00240EB9" w:rsidRPr="00240EB9" w:rsidRDefault="00240EB9" w:rsidP="00240EB9">
      <w:pPr>
        <w:pStyle w:val="Default"/>
        <w:ind w:firstLine="567"/>
        <w:jc w:val="both"/>
        <w:rPr>
          <w:rFonts w:ascii="Arial" w:hAnsi="Arial" w:cs="Arial"/>
          <w:sz w:val="20"/>
          <w:szCs w:val="20"/>
          <w:u w:val="single"/>
        </w:rPr>
      </w:pPr>
      <w:r w:rsidRPr="00240EB9">
        <w:rPr>
          <w:rFonts w:ascii="Arial" w:hAnsi="Arial" w:cs="Arial"/>
          <w:b/>
          <w:bCs/>
          <w:i/>
          <w:iCs/>
          <w:sz w:val="20"/>
          <w:szCs w:val="20"/>
          <w:u w:val="single"/>
        </w:rPr>
        <w:t xml:space="preserve">Сведения об общем количестве Биржевых облигаций выпуска, размещенных ранее, или о том, что выпуск таких Биржевых облигаций не является дополнительным, будут приведены в соответствующих Условиях выпуска. </w:t>
      </w:r>
    </w:p>
    <w:p w:rsidR="00886DC8" w:rsidRPr="00886DC8" w:rsidRDefault="00886DC8" w:rsidP="00886DC8">
      <w:pPr>
        <w:widowControl/>
        <w:spacing w:before="0" w:after="0"/>
        <w:jc w:val="both"/>
        <w:rPr>
          <w:rFonts w:eastAsiaTheme="minorHAnsi"/>
          <w:lang w:eastAsia="en-US"/>
        </w:rPr>
      </w:pPr>
    </w:p>
    <w:p w:rsidR="00886DC8" w:rsidRPr="003F1D31" w:rsidRDefault="00886DC8" w:rsidP="003F1D31">
      <w:pPr>
        <w:pStyle w:val="ConsPlusNormal"/>
        <w:ind w:firstLine="540"/>
        <w:jc w:val="both"/>
        <w:outlineLvl w:val="1"/>
        <w:rPr>
          <w:b/>
          <w:i/>
          <w:sz w:val="28"/>
          <w:szCs w:val="28"/>
        </w:rPr>
      </w:pPr>
      <w:bookmarkStart w:id="106" w:name="_Toc448251201"/>
      <w:r w:rsidRPr="003F1D31">
        <w:rPr>
          <w:b/>
          <w:i/>
          <w:sz w:val="28"/>
          <w:szCs w:val="28"/>
        </w:rPr>
        <w:t>8.7. Права владельца каждой ценной бумаги выпуска (дополнительного выпуска)</w:t>
      </w:r>
      <w:bookmarkEnd w:id="106"/>
    </w:p>
    <w:p w:rsidR="00C55A35" w:rsidRDefault="00C55A35" w:rsidP="00886DC8">
      <w:pPr>
        <w:widowControl/>
        <w:spacing w:before="0" w:after="0"/>
        <w:ind w:firstLine="540"/>
        <w:jc w:val="both"/>
        <w:rPr>
          <w:rFonts w:eastAsiaTheme="minorHAnsi"/>
          <w:lang w:eastAsia="en-US"/>
        </w:rPr>
      </w:pPr>
    </w:p>
    <w:p w:rsidR="00886DC8" w:rsidRPr="00886DC8" w:rsidRDefault="00C55A35" w:rsidP="001D210C">
      <w:pPr>
        <w:widowControl/>
        <w:spacing w:before="0" w:after="0"/>
        <w:ind w:firstLine="540"/>
        <w:jc w:val="both"/>
        <w:rPr>
          <w:rFonts w:eastAsiaTheme="minorHAnsi"/>
          <w:lang w:eastAsia="en-US"/>
        </w:rPr>
      </w:pPr>
      <w:r>
        <w:rPr>
          <w:rFonts w:eastAsiaTheme="minorHAnsi"/>
          <w:lang w:eastAsia="en-US"/>
        </w:rPr>
        <w:t>П</w:t>
      </w:r>
      <w:r w:rsidR="00886DC8" w:rsidRPr="00886DC8">
        <w:rPr>
          <w:rFonts w:eastAsiaTheme="minorHAnsi"/>
          <w:lang w:eastAsia="en-US"/>
        </w:rPr>
        <w:t>рава владельца каждой ценной бумаги выпуска (дополнительного выпуска).</w:t>
      </w:r>
    </w:p>
    <w:p w:rsidR="00C55A35" w:rsidRDefault="00C55A35" w:rsidP="001D210C">
      <w:pPr>
        <w:pStyle w:val="Default"/>
        <w:ind w:firstLine="540"/>
        <w:jc w:val="both"/>
        <w:rPr>
          <w:sz w:val="22"/>
          <w:szCs w:val="22"/>
        </w:rPr>
      </w:pPr>
    </w:p>
    <w:p w:rsidR="00E261A8" w:rsidRPr="00E261A8" w:rsidRDefault="00E261A8" w:rsidP="00E261A8">
      <w:pPr>
        <w:pStyle w:val="Default"/>
        <w:ind w:firstLine="567"/>
        <w:jc w:val="both"/>
        <w:rPr>
          <w:rFonts w:ascii="Arial" w:hAnsi="Arial" w:cs="Arial"/>
          <w:color w:val="auto"/>
          <w:sz w:val="20"/>
          <w:szCs w:val="20"/>
        </w:rPr>
      </w:pPr>
      <w:r w:rsidRPr="00E261A8">
        <w:rPr>
          <w:rFonts w:ascii="Arial" w:hAnsi="Arial" w:cs="Arial"/>
          <w:b/>
          <w:bCs/>
          <w:i/>
          <w:iCs/>
          <w:color w:val="auto"/>
          <w:sz w:val="20"/>
          <w:szCs w:val="20"/>
        </w:rPr>
        <w:t xml:space="preserve">Биржевая облигация каждого выпуска, размещаемого в рамках Программы биржевых облигаций, предоставляет ее владельцу одинаковый объем прав. </w:t>
      </w:r>
    </w:p>
    <w:p w:rsidR="00E261A8" w:rsidRPr="00E261A8" w:rsidRDefault="00E261A8" w:rsidP="00E261A8">
      <w:pPr>
        <w:pStyle w:val="Default"/>
        <w:ind w:firstLine="567"/>
        <w:jc w:val="both"/>
        <w:rPr>
          <w:rFonts w:ascii="Arial" w:hAnsi="Arial" w:cs="Arial"/>
          <w:color w:val="auto"/>
          <w:sz w:val="20"/>
          <w:szCs w:val="20"/>
        </w:rPr>
      </w:pPr>
      <w:r w:rsidRPr="00E261A8">
        <w:rPr>
          <w:rFonts w:ascii="Arial" w:hAnsi="Arial" w:cs="Arial"/>
          <w:b/>
          <w:bCs/>
          <w:i/>
          <w:iCs/>
          <w:color w:val="auto"/>
          <w:sz w:val="20"/>
          <w:szCs w:val="20"/>
        </w:rPr>
        <w:t xml:space="preserve">Документами, удостоверяющими права, закрепленные Биржевой облигацией, являются Сертификат Биржевых облигаций, Программа биржевых облигаций и Условия выпуска. </w:t>
      </w:r>
    </w:p>
    <w:p w:rsidR="00E261A8" w:rsidRPr="00E261A8" w:rsidRDefault="00E261A8" w:rsidP="00E261A8">
      <w:pPr>
        <w:pStyle w:val="Default"/>
        <w:ind w:firstLine="567"/>
        <w:jc w:val="both"/>
        <w:rPr>
          <w:rFonts w:ascii="Arial" w:hAnsi="Arial" w:cs="Arial"/>
          <w:b/>
          <w:bCs/>
          <w:i/>
          <w:iCs/>
          <w:color w:val="auto"/>
          <w:sz w:val="20"/>
          <w:szCs w:val="20"/>
        </w:rPr>
      </w:pPr>
      <w:r w:rsidRPr="00E261A8">
        <w:rPr>
          <w:rFonts w:ascii="Arial" w:hAnsi="Arial" w:cs="Arial"/>
          <w:b/>
          <w:bCs/>
          <w:i/>
          <w:iCs/>
          <w:color w:val="auto"/>
          <w:sz w:val="20"/>
          <w:szCs w:val="20"/>
        </w:rPr>
        <w:t xml:space="preserve">В случае расхождения между текстом Программы и Условий выпуска и данными, приведенными в Сертификате, владелец имеет право требовать осуществления прав, закрепленных этой ценной бумагой в объеме, удостоверенном Сертификатом. </w:t>
      </w:r>
    </w:p>
    <w:p w:rsidR="00E261A8" w:rsidRPr="00E261A8" w:rsidRDefault="00E261A8" w:rsidP="00E261A8">
      <w:pPr>
        <w:pStyle w:val="Default"/>
        <w:ind w:firstLine="567"/>
        <w:jc w:val="both"/>
        <w:rPr>
          <w:rFonts w:ascii="Arial" w:hAnsi="Arial" w:cs="Arial"/>
          <w:color w:val="auto"/>
          <w:sz w:val="20"/>
          <w:szCs w:val="20"/>
        </w:rPr>
      </w:pPr>
      <w:r w:rsidRPr="00E261A8">
        <w:rPr>
          <w:rFonts w:ascii="Arial" w:hAnsi="Arial" w:cs="Arial"/>
          <w:b/>
          <w:bCs/>
          <w:i/>
          <w:iCs/>
          <w:color w:val="auto"/>
          <w:sz w:val="20"/>
          <w:szCs w:val="20"/>
        </w:rPr>
        <w:t xml:space="preserve">Биржевая облигация каждого выпуска, размещаемого в рамках Программы биржевых облигаций, предоставляет ее владельцу право на получение при погашении Биржевой облигации в предусмотренный ею срок номинальной стоимости </w:t>
      </w:r>
      <w:r w:rsidRPr="00E261A8">
        <w:rPr>
          <w:rFonts w:ascii="Arial" w:hAnsi="Arial" w:cs="Arial"/>
          <w:color w:val="auto"/>
          <w:sz w:val="20"/>
          <w:szCs w:val="20"/>
        </w:rPr>
        <w:t>(</w:t>
      </w:r>
      <w:r w:rsidRPr="00E261A8">
        <w:rPr>
          <w:rFonts w:ascii="Arial" w:hAnsi="Arial" w:cs="Arial"/>
          <w:b/>
          <w:bCs/>
          <w:i/>
          <w:iCs/>
          <w:color w:val="auto"/>
          <w:sz w:val="20"/>
          <w:szCs w:val="20"/>
        </w:rPr>
        <w:t xml:space="preserve">непогашенной части номинальной стоимости, в случае если решение о частичном досрочном погашении принято Эмитентом в соответствии с п. 9.5. Программы) Биржевой облигации. </w:t>
      </w:r>
    </w:p>
    <w:p w:rsidR="00E261A8" w:rsidRPr="00E261A8" w:rsidRDefault="00E261A8" w:rsidP="00E261A8">
      <w:pPr>
        <w:pStyle w:val="Default"/>
        <w:ind w:firstLine="567"/>
        <w:jc w:val="both"/>
        <w:rPr>
          <w:rFonts w:ascii="Arial" w:hAnsi="Arial" w:cs="Arial"/>
          <w:color w:val="auto"/>
          <w:sz w:val="20"/>
          <w:szCs w:val="20"/>
        </w:rPr>
      </w:pPr>
      <w:r w:rsidRPr="00E261A8">
        <w:rPr>
          <w:rFonts w:ascii="Arial" w:hAnsi="Arial" w:cs="Arial"/>
          <w:b/>
          <w:bCs/>
          <w:i/>
          <w:iCs/>
          <w:color w:val="auto"/>
          <w:sz w:val="20"/>
          <w:szCs w:val="20"/>
        </w:rPr>
        <w:t xml:space="preserve">Биржевая облигация каждого выпуска, размещаемого в рамках Программы биржевых облигаций, предоставляет ее владельцу право на получение процента от непогашенной части номинальной стоимости Биржевой облигации (купонного дохода), порядок определения размера которого указан в п. 9.3 Программы, а сроки выплаты в п. 9.4. Программы. </w:t>
      </w:r>
    </w:p>
    <w:p w:rsidR="00E261A8" w:rsidRPr="00E261A8" w:rsidRDefault="00E261A8" w:rsidP="00E261A8">
      <w:pPr>
        <w:pStyle w:val="Default"/>
        <w:ind w:firstLine="567"/>
        <w:jc w:val="both"/>
        <w:rPr>
          <w:rFonts w:ascii="Arial" w:hAnsi="Arial" w:cs="Arial"/>
          <w:color w:val="auto"/>
          <w:sz w:val="20"/>
          <w:szCs w:val="20"/>
        </w:rPr>
      </w:pPr>
      <w:r w:rsidRPr="00E261A8">
        <w:rPr>
          <w:rFonts w:ascii="Arial" w:hAnsi="Arial" w:cs="Arial"/>
          <w:b/>
          <w:bCs/>
          <w:i/>
          <w:iCs/>
          <w:color w:val="auto"/>
          <w:sz w:val="20"/>
          <w:szCs w:val="20"/>
        </w:rPr>
        <w:t xml:space="preserve">Биржевая облигация каждого выпуска, размещаемого в рамках Программы биржевых облигаций, предоставляет ее владельцу право требовать приобретения Биржевых облигаций Эмитентом в случаях и на условиях, предусмотренных в п. 10 Программы биржевых облигаций. </w:t>
      </w:r>
    </w:p>
    <w:p w:rsidR="00E261A8" w:rsidRPr="00E261A8" w:rsidRDefault="00E261A8" w:rsidP="00E261A8">
      <w:pPr>
        <w:pStyle w:val="Default"/>
        <w:ind w:firstLine="567"/>
        <w:jc w:val="both"/>
        <w:rPr>
          <w:rFonts w:ascii="Arial" w:hAnsi="Arial" w:cs="Arial"/>
          <w:color w:val="auto"/>
          <w:sz w:val="20"/>
          <w:szCs w:val="20"/>
        </w:rPr>
      </w:pPr>
      <w:r w:rsidRPr="00E261A8">
        <w:rPr>
          <w:rFonts w:ascii="Arial" w:hAnsi="Arial" w:cs="Arial"/>
          <w:b/>
          <w:bCs/>
          <w:i/>
          <w:iCs/>
          <w:color w:val="auto"/>
          <w:sz w:val="20"/>
          <w:szCs w:val="20"/>
        </w:rPr>
        <w:t xml:space="preserve">Биржевая облигация каждого выпуска, размещаемого в рамках Программы биржевых облигаций, предоставляет ее владельцу право требовать досрочного погашения Биржевых облигаций и выплаты причитающегося ему накопленного купонного дохода на дату досрочного погашения Биржевых облигаций в случаях и на условиях, предусмотренных в п. 9.5 Программы биржевых облигаций, а также действующим законодательством Российской Федерации. </w:t>
      </w:r>
    </w:p>
    <w:p w:rsidR="00E261A8" w:rsidRPr="00E261A8" w:rsidRDefault="00E261A8" w:rsidP="00E261A8">
      <w:pPr>
        <w:pStyle w:val="Default"/>
        <w:ind w:firstLine="567"/>
        <w:jc w:val="both"/>
        <w:rPr>
          <w:rFonts w:ascii="Arial" w:hAnsi="Arial" w:cs="Arial"/>
          <w:color w:val="auto"/>
          <w:sz w:val="20"/>
          <w:szCs w:val="20"/>
        </w:rPr>
      </w:pPr>
      <w:r w:rsidRPr="00E261A8">
        <w:rPr>
          <w:rFonts w:ascii="Arial" w:hAnsi="Arial" w:cs="Arial"/>
          <w:b/>
          <w:bCs/>
          <w:i/>
          <w:iCs/>
          <w:color w:val="auto"/>
          <w:sz w:val="20"/>
          <w:szCs w:val="20"/>
        </w:rPr>
        <w:t xml:space="preserve">В случае ликвидации Эмитента владелец Биржевой облигации вправе получить причитающиеся денежные средства в порядке очередности, установленной в соответствии со статьей 64 Гражданского кодекса Российской Федерации. </w:t>
      </w:r>
    </w:p>
    <w:p w:rsidR="00E261A8" w:rsidRPr="00E261A8" w:rsidRDefault="00E261A8" w:rsidP="00E261A8">
      <w:pPr>
        <w:pStyle w:val="Default"/>
        <w:ind w:firstLine="567"/>
        <w:jc w:val="both"/>
        <w:rPr>
          <w:rFonts w:ascii="Arial" w:hAnsi="Arial" w:cs="Arial"/>
          <w:color w:val="auto"/>
          <w:sz w:val="20"/>
          <w:szCs w:val="20"/>
        </w:rPr>
      </w:pPr>
      <w:r w:rsidRPr="00E261A8">
        <w:rPr>
          <w:rFonts w:ascii="Arial" w:hAnsi="Arial" w:cs="Arial"/>
          <w:b/>
          <w:bCs/>
          <w:i/>
          <w:iCs/>
          <w:color w:val="auto"/>
          <w:sz w:val="20"/>
          <w:szCs w:val="20"/>
        </w:rPr>
        <w:t xml:space="preserve">Все задолженности Эмитента по Биржевым облигациям будут юридически равны и в равной степени обязательны к исполнению. </w:t>
      </w:r>
    </w:p>
    <w:p w:rsidR="00E261A8" w:rsidRPr="00E261A8" w:rsidRDefault="00E261A8" w:rsidP="00E261A8">
      <w:pPr>
        <w:pStyle w:val="Default"/>
        <w:ind w:firstLine="567"/>
        <w:jc w:val="both"/>
        <w:rPr>
          <w:rFonts w:ascii="Arial" w:hAnsi="Arial" w:cs="Arial"/>
          <w:color w:val="auto"/>
          <w:sz w:val="20"/>
          <w:szCs w:val="20"/>
        </w:rPr>
      </w:pPr>
      <w:r w:rsidRPr="00E261A8">
        <w:rPr>
          <w:rFonts w:ascii="Arial" w:hAnsi="Arial" w:cs="Arial"/>
          <w:b/>
          <w:bCs/>
          <w:i/>
          <w:iCs/>
          <w:color w:val="auto"/>
          <w:sz w:val="20"/>
          <w:szCs w:val="20"/>
        </w:rPr>
        <w:t xml:space="preserve">Эмитент обязуется обеспечить владельцам Биржевых облигаций возврат средств инвестирования в случае признания в соответствии с законодательством выпуска Биржевых облигаций недействительным. </w:t>
      </w:r>
    </w:p>
    <w:p w:rsidR="00E261A8" w:rsidRPr="00E261A8" w:rsidRDefault="00E261A8" w:rsidP="00E261A8">
      <w:pPr>
        <w:pStyle w:val="Default"/>
        <w:ind w:firstLine="567"/>
        <w:jc w:val="both"/>
        <w:rPr>
          <w:rFonts w:ascii="Arial" w:hAnsi="Arial" w:cs="Arial"/>
          <w:color w:val="auto"/>
          <w:sz w:val="20"/>
          <w:szCs w:val="20"/>
        </w:rPr>
      </w:pPr>
      <w:r w:rsidRPr="00E261A8">
        <w:rPr>
          <w:rFonts w:ascii="Arial" w:hAnsi="Arial" w:cs="Arial"/>
          <w:b/>
          <w:bCs/>
          <w:i/>
          <w:iCs/>
          <w:color w:val="auto"/>
          <w:sz w:val="20"/>
          <w:szCs w:val="20"/>
        </w:rPr>
        <w:t xml:space="preserve">Биржевая облигация каждого выпуска, размещаемого в рамках Программы биржевых облигаций, предоставляет ее владельцу право свободно продавать и иным образом отчуждать Биржевые облигации. </w:t>
      </w:r>
    </w:p>
    <w:p w:rsidR="00E261A8" w:rsidRPr="00E261A8" w:rsidRDefault="00E261A8" w:rsidP="00E261A8">
      <w:pPr>
        <w:pStyle w:val="Default"/>
        <w:ind w:firstLine="567"/>
        <w:jc w:val="both"/>
        <w:rPr>
          <w:rFonts w:ascii="Arial" w:hAnsi="Arial" w:cs="Arial"/>
          <w:color w:val="auto"/>
          <w:sz w:val="20"/>
          <w:szCs w:val="20"/>
        </w:rPr>
      </w:pPr>
      <w:r w:rsidRPr="00E261A8">
        <w:rPr>
          <w:rFonts w:ascii="Arial" w:hAnsi="Arial" w:cs="Arial"/>
          <w:b/>
          <w:bCs/>
          <w:i/>
          <w:iCs/>
          <w:color w:val="auto"/>
          <w:sz w:val="20"/>
          <w:szCs w:val="20"/>
        </w:rPr>
        <w:t xml:space="preserve">Владелец Биржевых облигаций вправе осуществлять иные права, предусмотренные законодательством Российской Федерации. </w:t>
      </w:r>
    </w:p>
    <w:p w:rsidR="00E261A8" w:rsidRPr="00E261A8" w:rsidRDefault="00E261A8" w:rsidP="00E261A8">
      <w:pPr>
        <w:pStyle w:val="Default"/>
        <w:ind w:firstLine="567"/>
        <w:jc w:val="both"/>
        <w:rPr>
          <w:rFonts w:ascii="Arial" w:hAnsi="Arial" w:cs="Arial"/>
          <w:color w:val="auto"/>
          <w:sz w:val="20"/>
          <w:szCs w:val="20"/>
        </w:rPr>
      </w:pPr>
      <w:r w:rsidRPr="00E261A8">
        <w:rPr>
          <w:rFonts w:ascii="Arial" w:hAnsi="Arial" w:cs="Arial"/>
          <w:b/>
          <w:bCs/>
          <w:i/>
          <w:iCs/>
          <w:color w:val="auto"/>
          <w:sz w:val="20"/>
          <w:szCs w:val="20"/>
        </w:rPr>
        <w:t xml:space="preserve">Эмитент обязуется обеспечить права владельцев Биржевых облигаций при соблюдении ими установленного законодательством Российской Федерации порядка осуществления этих прав. </w:t>
      </w:r>
    </w:p>
    <w:p w:rsidR="00E261A8" w:rsidRPr="00E261A8" w:rsidRDefault="00E261A8" w:rsidP="00E261A8">
      <w:pPr>
        <w:spacing w:after="0"/>
        <w:jc w:val="both"/>
        <w:rPr>
          <w:rFonts w:ascii="Arial" w:hAnsi="Arial" w:cs="Arial"/>
          <w:bCs/>
          <w:iCs/>
        </w:rPr>
      </w:pPr>
    </w:p>
    <w:p w:rsidR="00E261A8" w:rsidRPr="00E261A8" w:rsidRDefault="00E261A8" w:rsidP="00E261A8">
      <w:pPr>
        <w:pStyle w:val="Default"/>
        <w:ind w:firstLine="567"/>
        <w:jc w:val="both"/>
        <w:rPr>
          <w:rFonts w:ascii="Arial" w:hAnsi="Arial" w:cs="Arial"/>
          <w:color w:val="auto"/>
          <w:sz w:val="20"/>
          <w:szCs w:val="20"/>
        </w:rPr>
      </w:pPr>
      <w:r w:rsidRPr="00E261A8">
        <w:rPr>
          <w:rFonts w:ascii="Arial" w:hAnsi="Arial" w:cs="Arial"/>
          <w:b/>
          <w:bCs/>
          <w:i/>
          <w:iCs/>
          <w:color w:val="auto"/>
          <w:sz w:val="20"/>
          <w:szCs w:val="20"/>
        </w:rPr>
        <w:t xml:space="preserve">Предоставление обеспечения по Биржевым облигациям не предусмотрено. </w:t>
      </w:r>
    </w:p>
    <w:p w:rsidR="00E261A8" w:rsidRPr="00E261A8" w:rsidRDefault="00E261A8" w:rsidP="00E261A8">
      <w:pPr>
        <w:spacing w:after="0"/>
        <w:jc w:val="both"/>
        <w:rPr>
          <w:rFonts w:ascii="Arial" w:hAnsi="Arial" w:cs="Arial"/>
          <w:bCs/>
          <w:iCs/>
        </w:rPr>
      </w:pPr>
    </w:p>
    <w:p w:rsidR="00E261A8" w:rsidRPr="00E261A8" w:rsidRDefault="00E261A8" w:rsidP="00E261A8">
      <w:pPr>
        <w:pStyle w:val="Default"/>
        <w:ind w:firstLine="567"/>
        <w:jc w:val="both"/>
        <w:rPr>
          <w:rFonts w:ascii="Arial" w:hAnsi="Arial" w:cs="Arial"/>
          <w:color w:val="auto"/>
          <w:sz w:val="20"/>
          <w:szCs w:val="20"/>
        </w:rPr>
      </w:pPr>
      <w:r w:rsidRPr="00E261A8">
        <w:rPr>
          <w:rFonts w:ascii="Arial" w:hAnsi="Arial" w:cs="Arial"/>
          <w:b/>
          <w:bCs/>
          <w:i/>
          <w:iCs/>
          <w:color w:val="auto"/>
          <w:sz w:val="20"/>
          <w:szCs w:val="20"/>
        </w:rPr>
        <w:t xml:space="preserve">Биржевые облигации не являются ценными бумагами, предназначенными для квалифицированных инвесторов. </w:t>
      </w:r>
    </w:p>
    <w:p w:rsidR="00886DC8" w:rsidRPr="00886DC8" w:rsidRDefault="00886DC8" w:rsidP="00886DC8">
      <w:pPr>
        <w:widowControl/>
        <w:spacing w:before="0" w:after="0"/>
        <w:jc w:val="both"/>
        <w:rPr>
          <w:rFonts w:eastAsiaTheme="minorHAnsi"/>
          <w:lang w:eastAsia="en-US"/>
        </w:rPr>
      </w:pPr>
    </w:p>
    <w:p w:rsidR="00886DC8" w:rsidRPr="003F1D31" w:rsidRDefault="00886DC8" w:rsidP="003F1D31">
      <w:pPr>
        <w:pStyle w:val="ConsPlusNormal"/>
        <w:ind w:firstLine="540"/>
        <w:jc w:val="both"/>
        <w:outlineLvl w:val="1"/>
        <w:rPr>
          <w:b/>
          <w:i/>
          <w:sz w:val="28"/>
          <w:szCs w:val="28"/>
        </w:rPr>
      </w:pPr>
      <w:bookmarkStart w:id="107" w:name="_Toc448251202"/>
      <w:r w:rsidRPr="003F1D31">
        <w:rPr>
          <w:b/>
          <w:i/>
          <w:sz w:val="28"/>
          <w:szCs w:val="28"/>
        </w:rPr>
        <w:t>8.8. Условия и порядок размещения ценных бумаг выпуска (дополнительного выпуска)</w:t>
      </w:r>
      <w:bookmarkEnd w:id="107"/>
    </w:p>
    <w:p w:rsidR="00886DC8" w:rsidRPr="00886DC8" w:rsidRDefault="00886DC8" w:rsidP="00886DC8">
      <w:pPr>
        <w:widowControl/>
        <w:spacing w:before="0" w:after="0"/>
        <w:jc w:val="both"/>
        <w:rPr>
          <w:rFonts w:eastAsiaTheme="minorHAnsi"/>
          <w:lang w:eastAsia="en-US"/>
        </w:rPr>
      </w:pPr>
    </w:p>
    <w:p w:rsidR="00886DC8" w:rsidRPr="003F1D31" w:rsidRDefault="00886DC8" w:rsidP="00886DC8">
      <w:pPr>
        <w:widowControl/>
        <w:spacing w:before="0" w:after="0"/>
        <w:ind w:firstLine="540"/>
        <w:jc w:val="both"/>
        <w:outlineLvl w:val="2"/>
        <w:rPr>
          <w:rFonts w:ascii="Arial" w:eastAsiaTheme="minorHAnsi" w:hAnsi="Arial" w:cs="Arial"/>
          <w:b/>
          <w:sz w:val="26"/>
          <w:szCs w:val="26"/>
          <w:lang w:eastAsia="en-US"/>
        </w:rPr>
      </w:pPr>
      <w:bookmarkStart w:id="108" w:name="_Toc448251203"/>
      <w:r w:rsidRPr="003F1D31">
        <w:rPr>
          <w:rFonts w:ascii="Arial" w:eastAsiaTheme="minorHAnsi" w:hAnsi="Arial" w:cs="Arial"/>
          <w:b/>
          <w:sz w:val="26"/>
          <w:szCs w:val="26"/>
          <w:lang w:eastAsia="en-US"/>
        </w:rPr>
        <w:t>8.8.1. Способ размещения ценных бумаг</w:t>
      </w:r>
      <w:bookmarkEnd w:id="108"/>
    </w:p>
    <w:p w:rsidR="002B17F6" w:rsidRDefault="002B17F6" w:rsidP="00886DC8">
      <w:pPr>
        <w:widowControl/>
        <w:spacing w:before="0" w:after="0"/>
        <w:ind w:firstLine="540"/>
        <w:jc w:val="both"/>
        <w:rPr>
          <w:rFonts w:eastAsiaTheme="minorHAnsi"/>
          <w:lang w:eastAsia="en-US"/>
        </w:rPr>
      </w:pPr>
    </w:p>
    <w:p w:rsidR="00886DC8" w:rsidRPr="00886DC8" w:rsidRDefault="002B17F6" w:rsidP="002B17F6">
      <w:pPr>
        <w:pStyle w:val="Default"/>
        <w:jc w:val="both"/>
        <w:rPr>
          <w:rFonts w:ascii="Arial" w:hAnsi="Arial" w:cs="Arial"/>
          <w:b/>
          <w:bCs/>
          <w:i/>
          <w:iCs/>
          <w:color w:val="auto"/>
          <w:sz w:val="20"/>
          <w:szCs w:val="20"/>
        </w:rPr>
      </w:pPr>
      <w:r w:rsidRPr="002B17F6">
        <w:rPr>
          <w:rFonts w:ascii="Arial" w:hAnsi="Arial" w:cs="Arial"/>
          <w:b/>
          <w:bCs/>
          <w:i/>
          <w:iCs/>
          <w:color w:val="auto"/>
          <w:sz w:val="20"/>
          <w:szCs w:val="20"/>
        </w:rPr>
        <w:t>Открытая подписка</w:t>
      </w:r>
    </w:p>
    <w:p w:rsidR="00886DC8" w:rsidRPr="00886DC8" w:rsidRDefault="00886DC8" w:rsidP="00886DC8">
      <w:pPr>
        <w:widowControl/>
        <w:spacing w:before="0" w:after="0"/>
        <w:jc w:val="both"/>
        <w:rPr>
          <w:rFonts w:eastAsiaTheme="minorHAnsi"/>
          <w:lang w:eastAsia="en-US"/>
        </w:rPr>
      </w:pPr>
    </w:p>
    <w:p w:rsidR="00886DC8" w:rsidRPr="003F1D31" w:rsidRDefault="00886DC8" w:rsidP="00886DC8">
      <w:pPr>
        <w:widowControl/>
        <w:spacing w:before="0" w:after="0"/>
        <w:ind w:firstLine="540"/>
        <w:jc w:val="both"/>
        <w:outlineLvl w:val="2"/>
        <w:rPr>
          <w:rFonts w:ascii="Arial" w:eastAsiaTheme="minorHAnsi" w:hAnsi="Arial" w:cs="Arial"/>
          <w:b/>
          <w:sz w:val="26"/>
          <w:szCs w:val="26"/>
          <w:lang w:eastAsia="en-US"/>
        </w:rPr>
      </w:pPr>
      <w:bookmarkStart w:id="109" w:name="_Toc448251204"/>
      <w:r w:rsidRPr="003F1D31">
        <w:rPr>
          <w:rFonts w:ascii="Arial" w:eastAsiaTheme="minorHAnsi" w:hAnsi="Arial" w:cs="Arial"/>
          <w:b/>
          <w:sz w:val="26"/>
          <w:szCs w:val="26"/>
          <w:lang w:eastAsia="en-US"/>
        </w:rPr>
        <w:t>8.8.2. Срок размещения ценных бумаг</w:t>
      </w:r>
      <w:bookmarkEnd w:id="109"/>
    </w:p>
    <w:p w:rsidR="00DF0506" w:rsidRDefault="00DF0506" w:rsidP="00886DC8">
      <w:pPr>
        <w:widowControl/>
        <w:spacing w:before="0" w:after="0"/>
        <w:ind w:firstLine="540"/>
        <w:jc w:val="both"/>
        <w:rPr>
          <w:rFonts w:eastAsiaTheme="minorHAnsi"/>
          <w:lang w:eastAsia="en-US"/>
        </w:rPr>
      </w:pPr>
    </w:p>
    <w:p w:rsidR="00886DC8" w:rsidRPr="00886DC8" w:rsidRDefault="00886DC8" w:rsidP="00886DC8">
      <w:pPr>
        <w:widowControl/>
        <w:spacing w:before="0" w:after="0"/>
        <w:ind w:firstLine="540"/>
        <w:jc w:val="both"/>
        <w:rPr>
          <w:rFonts w:eastAsiaTheme="minorHAnsi"/>
          <w:lang w:eastAsia="en-US"/>
        </w:rPr>
      </w:pPr>
      <w:r w:rsidRPr="00886DC8">
        <w:rPr>
          <w:rFonts w:eastAsiaTheme="minorHAnsi"/>
          <w:lang w:eastAsia="en-US"/>
        </w:rPr>
        <w:t>Указываются дата начала и дата окончания размещения ценных бумаг или порядок определения срока размещения ценных бумаг.</w:t>
      </w:r>
    </w:p>
    <w:p w:rsidR="008E501A" w:rsidRPr="00886DC8" w:rsidRDefault="008E501A" w:rsidP="00886DC8">
      <w:pPr>
        <w:widowControl/>
        <w:spacing w:before="0" w:after="0"/>
        <w:ind w:firstLine="540"/>
        <w:jc w:val="both"/>
        <w:rPr>
          <w:rFonts w:eastAsiaTheme="minorHAnsi"/>
          <w:lang w:eastAsia="en-US"/>
        </w:rPr>
      </w:pPr>
    </w:p>
    <w:p w:rsidR="00775D1A" w:rsidRPr="00775D1A" w:rsidRDefault="00775D1A" w:rsidP="00775D1A">
      <w:pPr>
        <w:pStyle w:val="Default"/>
        <w:ind w:firstLine="567"/>
        <w:jc w:val="both"/>
        <w:rPr>
          <w:rFonts w:ascii="Arial" w:hAnsi="Arial" w:cs="Arial"/>
          <w:b/>
          <w:bCs/>
          <w:i/>
          <w:iCs/>
          <w:color w:val="auto"/>
          <w:sz w:val="20"/>
          <w:szCs w:val="20"/>
        </w:rPr>
      </w:pPr>
      <w:r w:rsidRPr="00775D1A">
        <w:rPr>
          <w:rFonts w:ascii="Arial" w:hAnsi="Arial" w:cs="Arial"/>
          <w:b/>
          <w:bCs/>
          <w:i/>
          <w:iCs/>
          <w:color w:val="auto"/>
          <w:sz w:val="20"/>
          <w:szCs w:val="20"/>
        </w:rPr>
        <w:t>Срок (порядок определения срока) размещения Биржевых облигаций Программой не определяется.</w:t>
      </w:r>
    </w:p>
    <w:p w:rsidR="00775D1A" w:rsidRPr="00775D1A" w:rsidRDefault="00775D1A" w:rsidP="00775D1A">
      <w:pPr>
        <w:pStyle w:val="Default"/>
        <w:ind w:firstLine="567"/>
        <w:jc w:val="both"/>
        <w:rPr>
          <w:rFonts w:ascii="Arial" w:hAnsi="Arial" w:cs="Arial"/>
          <w:color w:val="auto"/>
          <w:sz w:val="20"/>
          <w:szCs w:val="20"/>
          <w:u w:val="single"/>
        </w:rPr>
      </w:pPr>
      <w:r w:rsidRPr="00775D1A">
        <w:rPr>
          <w:rFonts w:ascii="Arial" w:hAnsi="Arial" w:cs="Arial"/>
          <w:b/>
          <w:bCs/>
          <w:i/>
          <w:iCs/>
          <w:color w:val="auto"/>
          <w:sz w:val="20"/>
          <w:szCs w:val="20"/>
        </w:rPr>
        <w:t xml:space="preserve">Дата начала размещения Биржевых облигаций определяется единоличным исполнительным органом Эмитента и может быть указана в Условиях выпуска. </w:t>
      </w:r>
      <w:r w:rsidRPr="00775D1A">
        <w:rPr>
          <w:rFonts w:ascii="Arial" w:hAnsi="Arial" w:cs="Arial"/>
          <w:b/>
          <w:bCs/>
          <w:i/>
          <w:iCs/>
          <w:color w:val="auto"/>
          <w:sz w:val="20"/>
          <w:szCs w:val="20"/>
          <w:u w:val="single"/>
        </w:rPr>
        <w:t xml:space="preserve">Дата окончания размещения Биржевых облигаций или порядок определения срока их размещения будет установлена в соответствующих Условиях выпуска. </w:t>
      </w:r>
    </w:p>
    <w:p w:rsidR="00775D1A" w:rsidRPr="00775D1A" w:rsidRDefault="00775D1A" w:rsidP="00775D1A">
      <w:pPr>
        <w:spacing w:after="0"/>
        <w:ind w:firstLine="567"/>
        <w:jc w:val="both"/>
        <w:rPr>
          <w:rFonts w:ascii="Arial" w:hAnsi="Arial" w:cs="Arial"/>
          <w:b/>
          <w:bCs/>
          <w:i/>
          <w:iCs/>
        </w:rPr>
      </w:pPr>
    </w:p>
    <w:p w:rsidR="00775D1A" w:rsidRPr="00775D1A" w:rsidRDefault="00775D1A" w:rsidP="00775D1A">
      <w:pPr>
        <w:spacing w:after="0"/>
        <w:ind w:firstLine="567"/>
        <w:jc w:val="both"/>
        <w:rPr>
          <w:rFonts w:ascii="Arial" w:hAnsi="Arial" w:cs="Arial"/>
          <w:b/>
          <w:bCs/>
          <w:i/>
          <w:iCs/>
        </w:rPr>
      </w:pPr>
      <w:r w:rsidRPr="00775D1A">
        <w:rPr>
          <w:rFonts w:ascii="Arial" w:hAnsi="Arial" w:cs="Arial"/>
          <w:b/>
          <w:bCs/>
          <w:i/>
          <w:iCs/>
        </w:rPr>
        <w:t xml:space="preserve">Эмитент раскрывает информацию о дате начала размещения Биржевых облигаций путем опубликования сообщения в информационном ресурсе, обновляемом в режиме реального времени и предоставляемом информационным агентством (далее – «лента новостей») хотя бы одного из информационных агентств, уполномоченных в установленном прядке на проведение действий по раскрытию информации о ценных бумагах и об иных финансовых инструментах, и на странице Эмитента в сети Интернет не позднее, чем за 1 (Один) день до даты начала размещения Биржевых облигаций. </w:t>
      </w:r>
    </w:p>
    <w:p w:rsidR="00775D1A" w:rsidRPr="00775D1A" w:rsidRDefault="00775D1A" w:rsidP="00775D1A">
      <w:pPr>
        <w:pStyle w:val="Default"/>
        <w:ind w:firstLine="567"/>
        <w:jc w:val="both"/>
        <w:rPr>
          <w:rFonts w:ascii="Arial" w:hAnsi="Arial" w:cs="Arial"/>
          <w:color w:val="auto"/>
          <w:sz w:val="20"/>
          <w:szCs w:val="20"/>
        </w:rPr>
      </w:pPr>
      <w:r w:rsidRPr="00775D1A">
        <w:rPr>
          <w:rFonts w:ascii="Arial" w:hAnsi="Arial" w:cs="Arial"/>
          <w:b/>
          <w:bCs/>
          <w:i/>
          <w:iCs/>
          <w:color w:val="auto"/>
          <w:sz w:val="20"/>
          <w:szCs w:val="20"/>
        </w:rPr>
        <w:t xml:space="preserve">Об определенной дате начала размещения Эмитент уведомляет Биржу и НРД в согласованном порядке. </w:t>
      </w:r>
    </w:p>
    <w:p w:rsidR="00775D1A" w:rsidRPr="00775D1A" w:rsidRDefault="00775D1A" w:rsidP="00775D1A">
      <w:pPr>
        <w:pStyle w:val="Default"/>
        <w:ind w:firstLine="567"/>
        <w:jc w:val="both"/>
        <w:rPr>
          <w:rFonts w:ascii="Arial" w:hAnsi="Arial" w:cs="Arial"/>
          <w:color w:val="auto"/>
          <w:sz w:val="20"/>
          <w:szCs w:val="20"/>
        </w:rPr>
      </w:pPr>
      <w:r w:rsidRPr="00775D1A">
        <w:rPr>
          <w:rFonts w:ascii="Arial" w:hAnsi="Arial" w:cs="Arial"/>
          <w:b/>
          <w:bCs/>
          <w:i/>
          <w:iCs/>
          <w:color w:val="auto"/>
          <w:sz w:val="20"/>
          <w:szCs w:val="20"/>
        </w:rPr>
        <w:t>Определенная единоличным исполнительным органом</w:t>
      </w:r>
      <w:r w:rsidRPr="00775D1A" w:rsidDel="008E10FB">
        <w:rPr>
          <w:rFonts w:ascii="Arial" w:hAnsi="Arial" w:cs="Arial"/>
          <w:b/>
          <w:bCs/>
          <w:i/>
          <w:iCs/>
          <w:color w:val="auto"/>
          <w:sz w:val="20"/>
          <w:szCs w:val="20"/>
        </w:rPr>
        <w:t xml:space="preserve"> </w:t>
      </w:r>
      <w:r w:rsidRPr="00775D1A">
        <w:rPr>
          <w:rFonts w:ascii="Arial" w:hAnsi="Arial" w:cs="Arial"/>
          <w:b/>
          <w:bCs/>
          <w:i/>
          <w:iCs/>
          <w:color w:val="auto"/>
          <w:sz w:val="20"/>
          <w:szCs w:val="20"/>
        </w:rPr>
        <w:t xml:space="preserve">Эмитента дата начала размещения Биржевых облигаций, которая при этом не была установлена в Условиях выпуска, может быть перенесена (изменена) решением того же органа управления Эмитента, при условии соблюдения требований к порядку раскрытия информации об изменении даты начала размещения Биржевых облигаций, определенному законодательством Российской Федерации. </w:t>
      </w:r>
    </w:p>
    <w:p w:rsidR="00775D1A" w:rsidRPr="00775D1A" w:rsidRDefault="00775D1A" w:rsidP="00775D1A">
      <w:pPr>
        <w:pStyle w:val="Default"/>
        <w:ind w:firstLine="567"/>
        <w:jc w:val="both"/>
        <w:rPr>
          <w:rFonts w:ascii="Arial" w:hAnsi="Arial" w:cs="Arial"/>
          <w:color w:val="auto"/>
          <w:sz w:val="20"/>
          <w:szCs w:val="20"/>
        </w:rPr>
      </w:pPr>
      <w:r w:rsidRPr="00775D1A">
        <w:rPr>
          <w:rFonts w:ascii="Arial" w:hAnsi="Arial" w:cs="Arial"/>
          <w:b/>
          <w:bCs/>
          <w:i/>
          <w:iCs/>
          <w:color w:val="auto"/>
          <w:sz w:val="20"/>
          <w:szCs w:val="20"/>
        </w:rPr>
        <w:t xml:space="preserve">В случае принятия Эмитентом решения о переносе (изменении) даты начала размещения Биржевых облигаций, раскрытой в порядке, предусмотренном п. 11 Программы биржевых облигаций и разделом VIII Проспекта ценных бумаг, Эмитент обязан опубликовать сообщение об изменении даты начала размещения ценных бумаг в ленте новостей и на странице Эмитента в сети Интернет не позднее 1 (Одного) дня до наступления такой даты. </w:t>
      </w:r>
    </w:p>
    <w:p w:rsidR="00775D1A" w:rsidRPr="00775D1A" w:rsidRDefault="00775D1A" w:rsidP="00775D1A">
      <w:pPr>
        <w:pStyle w:val="Default"/>
        <w:ind w:firstLine="567"/>
        <w:jc w:val="both"/>
        <w:rPr>
          <w:rFonts w:ascii="Arial" w:hAnsi="Arial" w:cs="Arial"/>
          <w:color w:val="auto"/>
          <w:sz w:val="20"/>
          <w:szCs w:val="20"/>
        </w:rPr>
      </w:pPr>
      <w:r w:rsidRPr="00775D1A">
        <w:rPr>
          <w:rFonts w:ascii="Arial" w:hAnsi="Arial" w:cs="Arial"/>
          <w:b/>
          <w:bCs/>
          <w:i/>
          <w:iCs/>
          <w:color w:val="auto"/>
          <w:sz w:val="20"/>
          <w:szCs w:val="20"/>
        </w:rPr>
        <w:t xml:space="preserve">Об изменении даты начала размещения Биржевых облигаций Эмитент уведомляет Биржу и НРД не позднее, чем за 1 (один) день до наступления соответствующей даты. </w:t>
      </w:r>
    </w:p>
    <w:p w:rsidR="00775D1A" w:rsidRPr="00775D1A" w:rsidRDefault="00775D1A" w:rsidP="00775D1A">
      <w:pPr>
        <w:pStyle w:val="Default"/>
        <w:ind w:firstLine="567"/>
        <w:jc w:val="both"/>
        <w:rPr>
          <w:rFonts w:ascii="Arial" w:hAnsi="Arial" w:cs="Arial"/>
          <w:b/>
          <w:bCs/>
          <w:i/>
          <w:iCs/>
          <w:color w:val="auto"/>
          <w:sz w:val="20"/>
          <w:szCs w:val="20"/>
        </w:rPr>
      </w:pPr>
      <w:r w:rsidRPr="00775D1A">
        <w:rPr>
          <w:rFonts w:ascii="Arial" w:hAnsi="Arial" w:cs="Arial"/>
          <w:b/>
          <w:bCs/>
          <w:i/>
          <w:iCs/>
          <w:color w:val="auto"/>
          <w:sz w:val="20"/>
          <w:szCs w:val="20"/>
        </w:rPr>
        <w:t xml:space="preserve">Перенос (изменение) даты начала размещения Биржевых облигаций, установленной в Условиях выпуска, путем опубликования сообщения об изменении даты начала размещения ценных бумаг в ленте новостей и на странице  Эмитента в сети Интернет не допускается. </w:t>
      </w:r>
    </w:p>
    <w:p w:rsidR="00886DC8" w:rsidRDefault="00886DC8" w:rsidP="00886DC8">
      <w:pPr>
        <w:widowControl/>
        <w:spacing w:before="0" w:after="0"/>
        <w:jc w:val="both"/>
        <w:rPr>
          <w:rFonts w:eastAsiaTheme="minorHAnsi"/>
          <w:lang w:eastAsia="en-US"/>
        </w:rPr>
      </w:pPr>
    </w:p>
    <w:p w:rsidR="00775D1A" w:rsidRPr="00886DC8" w:rsidRDefault="00775D1A" w:rsidP="00775D1A">
      <w:pPr>
        <w:widowControl/>
        <w:spacing w:before="0" w:after="0"/>
        <w:ind w:firstLine="540"/>
        <w:jc w:val="both"/>
        <w:rPr>
          <w:rFonts w:eastAsiaTheme="minorHAnsi"/>
          <w:lang w:eastAsia="en-US"/>
        </w:rPr>
      </w:pPr>
      <w:r w:rsidRPr="00886DC8">
        <w:rPr>
          <w:rFonts w:eastAsiaTheme="minorHAnsi"/>
          <w:lang w:eastAsia="en-US"/>
        </w:rPr>
        <w:t>В случае если выпуск (дополнительный выпуск) облигаций предполагается размещать траншами, дополнительно указываются сроки размещения облигаций каждого транша или порядок их определения.</w:t>
      </w:r>
    </w:p>
    <w:p w:rsidR="00775D1A" w:rsidRDefault="00775D1A" w:rsidP="00775D1A">
      <w:pPr>
        <w:pStyle w:val="Default"/>
        <w:jc w:val="both"/>
        <w:rPr>
          <w:b/>
          <w:bCs/>
          <w:i/>
          <w:iCs/>
          <w:color w:val="auto"/>
          <w:sz w:val="22"/>
          <w:szCs w:val="22"/>
        </w:rPr>
      </w:pPr>
    </w:p>
    <w:p w:rsidR="00775D1A" w:rsidRPr="00775D1A" w:rsidRDefault="00775D1A" w:rsidP="00775D1A">
      <w:pPr>
        <w:pStyle w:val="Default"/>
        <w:ind w:firstLine="567"/>
        <w:jc w:val="both"/>
        <w:rPr>
          <w:rFonts w:ascii="Arial" w:hAnsi="Arial" w:cs="Arial"/>
          <w:b/>
          <w:bCs/>
          <w:i/>
          <w:iCs/>
          <w:color w:val="auto"/>
          <w:sz w:val="20"/>
          <w:szCs w:val="20"/>
        </w:rPr>
      </w:pPr>
      <w:r w:rsidRPr="00775D1A">
        <w:rPr>
          <w:rFonts w:ascii="Arial" w:hAnsi="Arial" w:cs="Arial"/>
          <w:b/>
          <w:bCs/>
          <w:i/>
          <w:iCs/>
          <w:color w:val="auto"/>
          <w:sz w:val="20"/>
          <w:szCs w:val="20"/>
        </w:rPr>
        <w:t xml:space="preserve">Выпуск Биржевых облигаций не предполагается размещать траншами. </w:t>
      </w:r>
    </w:p>
    <w:p w:rsidR="00775D1A" w:rsidRDefault="00775D1A" w:rsidP="00775D1A">
      <w:pPr>
        <w:spacing w:after="0"/>
        <w:ind w:firstLine="540"/>
        <w:jc w:val="both"/>
      </w:pPr>
    </w:p>
    <w:p w:rsidR="00775D1A" w:rsidRDefault="00775D1A" w:rsidP="00775D1A">
      <w:pPr>
        <w:widowControl/>
        <w:spacing w:before="0" w:after="0"/>
        <w:ind w:firstLine="540"/>
        <w:jc w:val="both"/>
        <w:rPr>
          <w:rFonts w:eastAsiaTheme="minorHAnsi"/>
          <w:lang w:eastAsia="en-US"/>
        </w:rPr>
      </w:pPr>
      <w:r w:rsidRPr="00886DC8">
        <w:rPr>
          <w:rFonts w:eastAsiaTheme="minorHAnsi"/>
          <w:lang w:eastAsia="en-US"/>
        </w:rPr>
        <w:t>В случае если срок размещения ценных бумаг определяется указанием на даты раскрытия какой-либо информации о выпуске (дополнительном выпуске) ценных бумаг, также указывается порядок раскрытия такой информации.</w:t>
      </w:r>
    </w:p>
    <w:p w:rsidR="00775D1A" w:rsidRDefault="00775D1A" w:rsidP="00775D1A">
      <w:pPr>
        <w:pStyle w:val="Default"/>
        <w:jc w:val="both"/>
        <w:rPr>
          <w:b/>
          <w:bCs/>
          <w:i/>
          <w:iCs/>
          <w:color w:val="auto"/>
          <w:sz w:val="22"/>
          <w:szCs w:val="22"/>
        </w:rPr>
      </w:pPr>
    </w:p>
    <w:p w:rsidR="00775D1A" w:rsidRPr="00C22F02" w:rsidRDefault="00775D1A" w:rsidP="00775D1A">
      <w:pPr>
        <w:pStyle w:val="Default"/>
        <w:ind w:firstLine="567"/>
        <w:jc w:val="both"/>
        <w:rPr>
          <w:color w:val="auto"/>
          <w:sz w:val="22"/>
          <w:szCs w:val="22"/>
          <w:u w:val="single"/>
        </w:rPr>
      </w:pPr>
      <w:r w:rsidRPr="00775D1A">
        <w:rPr>
          <w:rFonts w:ascii="Arial" w:hAnsi="Arial" w:cs="Arial"/>
          <w:b/>
          <w:bCs/>
          <w:i/>
          <w:iCs/>
          <w:color w:val="auto"/>
          <w:sz w:val="20"/>
          <w:szCs w:val="20"/>
        </w:rPr>
        <w:t>В случае, если срок размещения Биржевых облигаций будет определяться указанием на даты раскрытия какой-либо информации о выпуске Биржевых облигаций, порядок</w:t>
      </w:r>
      <w:r w:rsidRPr="00C22F02">
        <w:rPr>
          <w:b/>
          <w:bCs/>
          <w:i/>
          <w:iCs/>
          <w:color w:val="auto"/>
          <w:sz w:val="22"/>
          <w:szCs w:val="22"/>
          <w:u w:val="single"/>
        </w:rPr>
        <w:t xml:space="preserve"> </w:t>
      </w:r>
      <w:r w:rsidRPr="00775D1A">
        <w:rPr>
          <w:rFonts w:ascii="Arial" w:hAnsi="Arial" w:cs="Arial"/>
          <w:b/>
          <w:bCs/>
          <w:i/>
          <w:iCs/>
          <w:color w:val="auto"/>
          <w:sz w:val="20"/>
          <w:szCs w:val="20"/>
          <w:u w:val="single"/>
        </w:rPr>
        <w:t xml:space="preserve">раскрытия такой информации также будет указан в соответствующих Условиях выпуска. </w:t>
      </w:r>
    </w:p>
    <w:p w:rsidR="00775D1A" w:rsidRPr="00886DC8" w:rsidRDefault="00775D1A" w:rsidP="00886DC8">
      <w:pPr>
        <w:widowControl/>
        <w:spacing w:before="0" w:after="0"/>
        <w:jc w:val="both"/>
        <w:rPr>
          <w:rFonts w:eastAsiaTheme="minorHAnsi"/>
          <w:lang w:eastAsia="en-US"/>
        </w:rPr>
      </w:pPr>
    </w:p>
    <w:p w:rsidR="00886DC8" w:rsidRPr="003F1D31" w:rsidRDefault="00886DC8" w:rsidP="00886DC8">
      <w:pPr>
        <w:widowControl/>
        <w:spacing w:before="0" w:after="0"/>
        <w:ind w:firstLine="540"/>
        <w:jc w:val="both"/>
        <w:outlineLvl w:val="2"/>
        <w:rPr>
          <w:rFonts w:ascii="Arial" w:eastAsiaTheme="minorHAnsi" w:hAnsi="Arial" w:cs="Arial"/>
          <w:b/>
          <w:sz w:val="26"/>
          <w:szCs w:val="26"/>
          <w:lang w:eastAsia="en-US"/>
        </w:rPr>
      </w:pPr>
      <w:bookmarkStart w:id="110" w:name="_Toc448251205"/>
      <w:r w:rsidRPr="003F1D31">
        <w:rPr>
          <w:rFonts w:ascii="Arial" w:eastAsiaTheme="minorHAnsi" w:hAnsi="Arial" w:cs="Arial"/>
          <w:b/>
          <w:sz w:val="26"/>
          <w:szCs w:val="26"/>
          <w:lang w:eastAsia="en-US"/>
        </w:rPr>
        <w:t>8.8.3. Порядок размещения ценных бумаг</w:t>
      </w:r>
      <w:bookmarkEnd w:id="110"/>
    </w:p>
    <w:p w:rsidR="00D004B6" w:rsidRDefault="00D004B6" w:rsidP="00886DC8">
      <w:pPr>
        <w:widowControl/>
        <w:spacing w:before="0" w:after="0"/>
        <w:ind w:firstLine="540"/>
        <w:jc w:val="both"/>
        <w:rPr>
          <w:rFonts w:eastAsiaTheme="minorHAnsi"/>
          <w:lang w:eastAsia="en-US"/>
        </w:rPr>
      </w:pPr>
    </w:p>
    <w:p w:rsidR="00886DC8" w:rsidRPr="00886DC8" w:rsidRDefault="00886DC8" w:rsidP="00886DC8">
      <w:pPr>
        <w:widowControl/>
        <w:spacing w:before="0" w:after="0"/>
        <w:ind w:firstLine="540"/>
        <w:jc w:val="both"/>
        <w:rPr>
          <w:rFonts w:eastAsiaTheme="minorHAnsi"/>
          <w:lang w:eastAsia="en-US"/>
        </w:rPr>
      </w:pPr>
      <w:r w:rsidRPr="00886DC8">
        <w:rPr>
          <w:rFonts w:eastAsiaTheme="minorHAnsi"/>
          <w:lang w:eastAsia="en-US"/>
        </w:rPr>
        <w:t>Указывается порядок размещения ценных бумаг в соответствии с требованиями законодательства Российской Федерации.</w:t>
      </w:r>
    </w:p>
    <w:p w:rsidR="00886DC8" w:rsidRPr="00886DC8" w:rsidRDefault="00886DC8" w:rsidP="00886DC8">
      <w:pPr>
        <w:widowControl/>
        <w:spacing w:before="0" w:after="0"/>
        <w:ind w:firstLine="540"/>
        <w:jc w:val="both"/>
        <w:rPr>
          <w:rFonts w:eastAsiaTheme="minorHAnsi"/>
          <w:lang w:eastAsia="en-US"/>
        </w:rPr>
      </w:pPr>
      <w:r w:rsidRPr="00886DC8">
        <w:rPr>
          <w:rFonts w:eastAsiaTheme="minorHAnsi"/>
          <w:lang w:eastAsia="en-US"/>
        </w:rPr>
        <w:t>В случае размещения ценных бумаг путем подписки указываются:</w:t>
      </w:r>
    </w:p>
    <w:p w:rsidR="00886DC8" w:rsidRPr="00886DC8" w:rsidRDefault="00886DC8" w:rsidP="00886DC8">
      <w:pPr>
        <w:widowControl/>
        <w:spacing w:before="0" w:after="0"/>
        <w:ind w:firstLine="540"/>
        <w:jc w:val="both"/>
        <w:rPr>
          <w:rFonts w:eastAsiaTheme="minorHAnsi"/>
          <w:lang w:eastAsia="en-US"/>
        </w:rPr>
      </w:pPr>
      <w:r w:rsidRPr="00886DC8">
        <w:rPr>
          <w:rFonts w:eastAsiaTheme="minorHAnsi"/>
          <w:lang w:eastAsia="en-US"/>
        </w:rPr>
        <w:t>порядок и условия заключения договоров, направленных на отчуждение ценных бумаг первым владельцам в ходе их размещения (форма и способ заключения договоров, место и момент их заключения, а если заключение договоров осуществляется посредством подачи и удовлетворения заявок - порядок и способ подачи (направления) заявок, требования к содержанию заявок и срок их рассмотрения, способ и срок направления уведомлений (сообщений) об удовлетворении (об отказе в удовлетворении) заявок);</w:t>
      </w:r>
    </w:p>
    <w:p w:rsidR="00D004B6" w:rsidRDefault="00D004B6" w:rsidP="00886DC8">
      <w:pPr>
        <w:widowControl/>
        <w:spacing w:before="0" w:after="0"/>
        <w:ind w:firstLine="540"/>
        <w:jc w:val="both"/>
        <w:rPr>
          <w:rFonts w:eastAsiaTheme="minorHAnsi"/>
          <w:lang w:eastAsia="en-US"/>
        </w:rPr>
      </w:pP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Размещение Биржевых облигаций проводится путем заключения сделок купли-продажи по цене размещения Биржевых облигаций, порядок определения которой указан в п. 8.4. Программы биржевых облигаций и п.8.8.4 Проспекта ценных бумаг.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Сделки при размещении Биржевых облигаций заключаются в Закрытом акционерном обществе «Фондовая биржа ММВБ» (далее и ранее - «Биржа», «ФБ ММВБ») путём удовлетворения адресных заявок на покупку Биржевых облигаций, поданных с использованием системы торгов Биржи в соответствии с Правилами проведения торгов по ценным бумагам в ЗАО «ФБ ММВБ» (далее - «Правила торгов Биржи», «Правила Биржи»).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Адресные заявки на покупку Биржевых облигаций и встречные адресные заявки на продажу Биржевых облигаций подаются с использованием системы торгов ФБ ММВБ в электронном виде, при этом простая письменная форма договора считается соблюденной. Момент заключения сделки по размещению Биржевых облигаций определяется в соответствии с Правилами торгов Биржи.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Отдельные письменные уведомления (сообщения) об удовлетворении (об отказе в удовлетворении) заявок, Участникам торгов не направляются.</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Торги проводятся в соответствии с Правилами Биржи, зарегистрированными в установленном законодательством РФ порядке.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Размещение Биржевых облигаций может происходить в форме конкурса по определению процентной ставки по первому купону (далее – «Конкурс» или «Конкурс по определению процентной ставки по первому купону») либо путем сбора адресных заявок со стороны покупателей на приобретение Биржевых облигаций по фиксированной цене и процентной ставке по первому купону, заранее установленной Эмитентом в порядке и на условиях, предусмотренных Программой биржевых облигаций (далее – «Размещение Биржевых облигаций путем сбора адресных заявок» или «Сбор адресных заявок со стороны покупателей на приобретение Биржевых облигаций по фиксированной цене и процентной ставке по первому купону»).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До даты начала размещения выпуска Биржевых облигаций Эмитент принимает решение о порядке размещения ценных бумаг (размещение Биржевых облигаций в форме Конкурса либо Размещение Биржевых облигаций путем сбора адресных заявок).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Сообщение о принятии Эмитентом решения о порядке размещения ценных бумаг раскрывается в порядке, предусмотренном в п.11 Программы биржевых облигаций и разделом VIII Проспекта ценных бумаг</w:t>
      </w:r>
      <w:r w:rsidRPr="00A57E9F">
        <w:rPr>
          <w:rFonts w:ascii="Arial" w:hAnsi="Arial" w:cs="Arial"/>
          <w:sz w:val="20"/>
          <w:szCs w:val="20"/>
        </w:rPr>
        <w:t xml:space="preserve"> </w:t>
      </w:r>
      <w:r w:rsidRPr="00A57E9F">
        <w:rPr>
          <w:rFonts w:ascii="Arial" w:hAnsi="Arial" w:cs="Arial"/>
          <w:b/>
          <w:bCs/>
          <w:i/>
          <w:iCs/>
          <w:color w:val="auto"/>
          <w:sz w:val="20"/>
          <w:szCs w:val="20"/>
          <w:u w:val="single"/>
        </w:rPr>
        <w:t>либо указывается в п. 8.3 Условий выпуска</w:t>
      </w:r>
      <w:r w:rsidRPr="00A57E9F">
        <w:rPr>
          <w:rFonts w:ascii="Arial" w:hAnsi="Arial" w:cs="Arial"/>
          <w:b/>
          <w:bCs/>
          <w:i/>
          <w:iCs/>
          <w:color w:val="auto"/>
          <w:sz w:val="20"/>
          <w:szCs w:val="20"/>
        </w:rPr>
        <w:t xml:space="preserve">. </w:t>
      </w:r>
    </w:p>
    <w:p w:rsidR="00A57E9F" w:rsidRPr="00A57E9F" w:rsidRDefault="00A57E9F" w:rsidP="00A57E9F">
      <w:pPr>
        <w:pStyle w:val="Default"/>
        <w:ind w:firstLine="567"/>
        <w:jc w:val="both"/>
        <w:rPr>
          <w:rFonts w:ascii="Arial" w:hAnsi="Arial" w:cs="Arial"/>
          <w:b/>
          <w:bCs/>
          <w:i/>
          <w:iCs/>
          <w:color w:val="auto"/>
          <w:sz w:val="20"/>
          <w:szCs w:val="20"/>
        </w:rPr>
      </w:pPr>
      <w:r w:rsidRPr="00A57E9F">
        <w:rPr>
          <w:rFonts w:ascii="Arial" w:hAnsi="Arial" w:cs="Arial"/>
          <w:b/>
          <w:bCs/>
          <w:i/>
          <w:iCs/>
          <w:color w:val="auto"/>
          <w:sz w:val="20"/>
          <w:szCs w:val="20"/>
        </w:rPr>
        <w:t xml:space="preserve">Эмитент информирует Биржу о порядке размещения Биржевых облигаций в согласованном порядке. </w:t>
      </w:r>
    </w:p>
    <w:p w:rsidR="00A57E9F" w:rsidRPr="00A57E9F" w:rsidRDefault="00A57E9F" w:rsidP="00A57E9F">
      <w:pPr>
        <w:pStyle w:val="Default"/>
        <w:ind w:firstLine="567"/>
        <w:jc w:val="both"/>
        <w:rPr>
          <w:rFonts w:ascii="Arial" w:hAnsi="Arial" w:cs="Arial"/>
          <w:b/>
          <w:bCs/>
          <w:i/>
          <w:iCs/>
          <w:color w:val="auto"/>
          <w:sz w:val="20"/>
          <w:szCs w:val="20"/>
        </w:rPr>
      </w:pPr>
      <w:r w:rsidRPr="00A57E9F">
        <w:rPr>
          <w:rFonts w:ascii="Arial" w:hAnsi="Arial" w:cs="Arial"/>
          <w:b/>
          <w:bCs/>
          <w:i/>
          <w:iCs/>
          <w:color w:val="auto"/>
          <w:sz w:val="20"/>
          <w:szCs w:val="20"/>
        </w:rPr>
        <w:t xml:space="preserve">Изменение и/или расторжение договоров, заключенных при размещении Биржевых облигаций, осуществляется по основаниям и в порядке, предусмотренном гл. 29 Гражданского кодекса Российской Федерации. </w:t>
      </w:r>
    </w:p>
    <w:p w:rsidR="00A57E9F" w:rsidRPr="00A57E9F" w:rsidRDefault="00A57E9F" w:rsidP="00A57E9F">
      <w:pPr>
        <w:pStyle w:val="Default"/>
        <w:ind w:firstLine="567"/>
        <w:jc w:val="both"/>
        <w:rPr>
          <w:rFonts w:ascii="Arial" w:hAnsi="Arial" w:cs="Arial"/>
          <w:b/>
          <w:bCs/>
          <w:i/>
          <w:iCs/>
          <w:color w:val="auto"/>
          <w:sz w:val="20"/>
          <w:szCs w:val="20"/>
        </w:rPr>
      </w:pPr>
      <w:r w:rsidRPr="00A57E9F">
        <w:rPr>
          <w:rFonts w:ascii="Arial" w:hAnsi="Arial" w:cs="Arial"/>
          <w:b/>
          <w:bCs/>
          <w:i/>
          <w:iCs/>
          <w:color w:val="auto"/>
          <w:sz w:val="20"/>
          <w:szCs w:val="20"/>
        </w:rPr>
        <w:t>Приобретение Биржевых облигаций Эмитента в ходе их размещения не может быть осуществлено за счет Эмитента.</w:t>
      </w:r>
    </w:p>
    <w:p w:rsidR="00A57E9F" w:rsidRDefault="00A57E9F" w:rsidP="00A57E9F">
      <w:pPr>
        <w:pStyle w:val="Default"/>
        <w:jc w:val="both"/>
        <w:rPr>
          <w:b/>
          <w:bCs/>
          <w:i/>
          <w:iCs/>
          <w:color w:val="auto"/>
          <w:sz w:val="22"/>
          <w:szCs w:val="22"/>
        </w:rPr>
      </w:pPr>
    </w:p>
    <w:p w:rsidR="00A57E9F" w:rsidRPr="00A57E9F" w:rsidRDefault="00A57E9F" w:rsidP="00A57E9F">
      <w:pPr>
        <w:pStyle w:val="Default"/>
        <w:jc w:val="both"/>
        <w:rPr>
          <w:color w:val="auto"/>
          <w:sz w:val="20"/>
          <w:szCs w:val="20"/>
        </w:rPr>
      </w:pPr>
      <w:r w:rsidRPr="00A57E9F">
        <w:rPr>
          <w:bCs/>
          <w:iCs/>
          <w:color w:val="auto"/>
          <w:sz w:val="20"/>
          <w:szCs w:val="20"/>
        </w:rPr>
        <w:t xml:space="preserve">А) Размещение Биржевых облигаций в форме Конкурса по определению процентной ставки по первому купону: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Заключение сделок по размещению Биржевых облигаций начинается в дату начала размещения Биржевых облигаций после подведения итогов Конкурса по определению процентной ставки по первому купону и заканчивается в дату окончания размещения Биржевых облигаций.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Конкурс по определению процентной ставки по первому купону начинается и заканчивается в дату начала размещения Биржевых облигаций.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Процентная ставка по первому купону определяется по итогам проведения Конкурса на Бирже среди потенциальных покупателей Биржевых облигаций в дату начала размещения Биржевых облигаций.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В случае если потенциальный покупатель не является участником торгов ФБ ММВБ (далее - «Участник торгов»), он должен заключить соответствующий договор с любым Участником торгов, и дать ему поручение на приобретение Биржевых облигаций. Потенциальный покупатель Биржевых облигаций, являющийся Участником торгов, действует самостоятельно.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В день проведения Конкурса Участники торгов Биржи подают адресные заявки на покупку Биржевых облигаций на Конкурс с использованием системы торгов Биржи как за свой счет, так и за счет и по поручению клиентов. Время и порядок подачи заявок на Конкурс по определению процентной ставки по первому купону устанавливаются Биржей по согласованию с Эмитентом и/или Андеррайтером. </w:t>
      </w:r>
    </w:p>
    <w:p w:rsidR="00A57E9F" w:rsidRPr="00A57E9F" w:rsidRDefault="00A57E9F" w:rsidP="00A57E9F">
      <w:pPr>
        <w:pStyle w:val="Default"/>
        <w:ind w:firstLine="567"/>
        <w:jc w:val="both"/>
        <w:rPr>
          <w:rFonts w:ascii="Arial" w:hAnsi="Arial" w:cs="Arial"/>
          <w:b/>
          <w:bCs/>
          <w:i/>
          <w:iCs/>
          <w:color w:val="auto"/>
          <w:sz w:val="20"/>
          <w:szCs w:val="20"/>
        </w:rPr>
      </w:pP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Заявки на приобретение Биржевых облигаций направляются Участниками торгов в адрес Андеррайтера.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Заявка на приобретение должна содержать следующие значимые условия: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 цена покупки;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 количество Биржевых облигаций;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 величина процентной ставки по первому купону;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 код расчетов, используемый при заключении сделки с ценными бумагами, подлежащей включению в клиринговый пул Клиринговой организации на условиях многостороннего или простого клиринга, и определяющий, что при совершении сделки проводится процедура контроля обеспечения, а надлежащей датой исполнения сделки с ценными бумагами является дата заключения сделки;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 прочие параметры в соответствии с Правилами Биржи. </w:t>
      </w:r>
    </w:p>
    <w:p w:rsidR="00A57E9F" w:rsidRPr="00A57E9F" w:rsidRDefault="00A57E9F" w:rsidP="00A57E9F">
      <w:pPr>
        <w:pStyle w:val="Default"/>
        <w:ind w:firstLine="567"/>
        <w:jc w:val="both"/>
        <w:rPr>
          <w:rFonts w:ascii="Arial" w:hAnsi="Arial" w:cs="Arial"/>
          <w:b/>
          <w:bCs/>
          <w:i/>
          <w:iCs/>
          <w:color w:val="auto"/>
          <w:sz w:val="20"/>
          <w:szCs w:val="20"/>
        </w:rPr>
      </w:pP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В качестве цены покупки должна быть указана цена размещения Биржевых облигаций, установленная в п.8.4. Программы биржевых облигаций (в процентах от номинальной стоимости Биржевых облигаций).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В качестве количества Биржевых облигаций должно быть указано то количество Биржевых облигаций, которое потенциальный покупатель хотел бы приобрести, в случае, если Эмитент назначит процентную ставку по первому купону, большую или равную указанной в заявке величине процентной ставки по первому купону.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В качестве величины процентной ставки по первому купону указывается та величина (в числовом выражении с точностью до двух знаков после запятой) процентной ставки по первому купону, при объявлении которой Эмитентом потенциальный инвестор был бы готов купить количество Биржевых облигаций, указанное в заявке, по цене 100% от номинальной стоимости Биржевых облигаций.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При этом денежные средства должны быть зарезервированы на торговых счетах Участников торгов в НРД в сумме, достаточной для полной оплаты Биржевых облигаций, указанных в заявках на приобретение Биржевых облигаций, с учётом всех необходимых комиссионных сборов, а, начиная со второго дня размещения, также с учетом накопленного купонного дохода (далее – «НКД»).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Заявки, не соответствующие изложенным выше требованиям, к участию в Конкурсе по определению процентной ставки по первому купону не допускаются.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По окончании периода подачи заявок на Конкурс, Биржа составляет сводный реестр заявок на покупку ценных бумаг (далее - «Сводный реестр заявок») и передает его Андеррайтеру.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Сводный реестр заявок содержит все значимые условия каждой заявки - цену приобретения, количество ценных бумаг, дату и время поступления заявки, номер заявки, величину приемлемой процентной ставки по первому купону, а также иные реквизиты в соответствии с Правилами Биржи.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На основании анализа заявок, поданных на Конкурс, единоличный исполнительный орган Эмитента принимает решение о величине процентной ставки по первому купону и сообщает о принятом решении Бирже одновременно с опубликованием сообщения о величине процентной ставки по первому купону в ленте новостей.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После опубликования в ленте новостей сообщения о величине процентной ставки по первому купону Эмитент информирует Андеррайтера о величине процентной ставки по первому купону, а также направляет информацию в НРД.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Информация о величине процентной ставки по первому купону будет раскрываться Эмитентом в порядке, предусмотренном п. 11 Программы биржевых облигаций.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Андеррайтер после получения от Эмитента информации о величине процентной ставки первого купона, заключает сделки путем подачи в систему торгов Биржи встречных адресных заявок согласно установленному Программой биржевых облигаций и Правилами Биржи порядку, по отношению к заявкам, в которых величина процентной ставки меньше либо равна величине установленной процентной ставки по первому купону.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Приоритет в удовлетворении заявок на покупку Биржевых облигаций, поданных в ходе проводимого Конкурса, имеют заявки с минимальной величиной процентной ставки по первому купону.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В случае наличия заявок с одинаковой процентной ставкой по первому купону, приоритет в удовлетворении имеют заявки, поданные ранее по времени. Неудовлетворенные заявки Участников торгов отклоняются Андеррайтером.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После определения ставки первого купона и удовлетворения заявок, поданных в ходе Конкурса, Участники торгов, действующие как за свой счет, так и за счет и по поручению потенциальных покупателей, могут в течение срока размещения подавать адресные заявки на покупку Биржевых облигаций по цене размещения в адрес Андеррайтера в случае неполного размещения выпуска Биржевых облигаций в ходе проведения Конкурса. </w:t>
      </w:r>
    </w:p>
    <w:p w:rsidR="00A57E9F" w:rsidRPr="00A57E9F" w:rsidRDefault="00A57E9F" w:rsidP="00A57E9F">
      <w:pPr>
        <w:pStyle w:val="Default"/>
        <w:ind w:firstLine="567"/>
        <w:jc w:val="both"/>
        <w:rPr>
          <w:rFonts w:ascii="Arial" w:hAnsi="Arial" w:cs="Arial"/>
          <w:b/>
          <w:bCs/>
          <w:i/>
          <w:iCs/>
          <w:color w:val="auto"/>
          <w:sz w:val="20"/>
          <w:szCs w:val="20"/>
        </w:rPr>
      </w:pP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Для приобретения Биржевых облигаций при их размещении после окончания Конкурса в случае их неполного размещения Участники торгов вправе подать через систему торгов Биржи в адрес Андеррайтера обеспеченную денежными средствами адресную заявку на покупку Биржевых облигаций. В заявке указывается максимальное количество Биржевых облигаций, которое лицо, подавшее заявку, готово приобрести, а также цена размещения Биржевых облигаций, установленная в п. 8.4. Программы биржевых облигаций. На момент подачи заявка должна быть обеспечена денежными средствами на торговом счете Участника торгов, подающего заявку, в НРД, в сумме, достаточной для полной оплаты Биржевых облигаций, указанных в заявке на приобретение Биржевых облигаций, с учётом всех необходимых комиссионных сборов.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Удовлетворение заявок на приобретение Биржевых облигаций при их размещении после окончания Конкурса осуществляется Андеррайтером путем подачи в систему торгов Биржи встречных адресных заявок на продажу Биржевых облигаций. Поданные заявки на приобретение Биржевых облигаций удовлетворяются в порядке очередности их поступления.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Поданные заявки на покупку Биржевых облигаций удовлетворяются Андеррайтером в полном объеме в случае, если количество Биржевых облигаций в заявке на покупку Биржевых облигаций не превосходит количества недоразмещенных Биржевых облигаций выпуска (в пределах общего количества предлагаемых к размещению Биржевых облигаций). В случае, если объем заявки на покупку Биржевых облигаций превышает количество Биржевых облигаций, оставшихся неразмещёнными, то данная заявка на покупку Биржевых облигаций удовлетворяется в размере неразмещенного остатка.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В случае размещения Андеррайтером всего объёма предлагаемых к размещению Биржевых облигаций акцепт последующих заявок на приобретение Биржевых облигаций не производится. </w:t>
      </w:r>
    </w:p>
    <w:p w:rsidR="00A57E9F" w:rsidRPr="00A57E9F" w:rsidRDefault="00A57E9F" w:rsidP="00A57E9F">
      <w:pPr>
        <w:pStyle w:val="Default"/>
        <w:ind w:firstLine="567"/>
        <w:jc w:val="both"/>
        <w:rPr>
          <w:rFonts w:ascii="Arial" w:hAnsi="Arial" w:cs="Arial"/>
          <w:b/>
          <w:bCs/>
          <w:i/>
          <w:iCs/>
          <w:color w:val="auto"/>
          <w:sz w:val="20"/>
          <w:szCs w:val="20"/>
        </w:rPr>
      </w:pP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Начиная со второго дня размещения Биржевых облигаций, покупатель при приобретении Биржевых облигаций уплачивает дополнительно к цене размещения Биржевых облигаций накопленный купонный доход по Биржевым облигациям (НКД), определяемый по формуле, которая приведена в п. 8.4 Программы биржевых облигаций.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Величина НКД в расчете на одну Биржевую облигацию рассчитывается с точностью до одной копейки (округление производится по правилам математического округления до ближайшего целого числа; при этом под правилом математического округления следует понимать метод округления, при котором значение целой копейки (целых копеек) не изменяется, если следующая за округляемой цифра равна от 0 до 4, и изменяется, увеличиваясь на единицу, если следующая за округляемой цифра равна от 5 до 9).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Заключение сделок по размещению Биржевых облигаций и расчеты по ним производятся в соответствии с Правилами Биржи. </w:t>
      </w:r>
    </w:p>
    <w:p w:rsidR="00A57E9F" w:rsidRPr="00A57E9F" w:rsidRDefault="00A57E9F" w:rsidP="00A57E9F">
      <w:pPr>
        <w:pStyle w:val="Default"/>
        <w:jc w:val="both"/>
        <w:rPr>
          <w:b/>
          <w:bCs/>
          <w:i/>
          <w:iCs/>
          <w:color w:val="auto"/>
          <w:sz w:val="20"/>
          <w:szCs w:val="20"/>
        </w:rPr>
      </w:pPr>
    </w:p>
    <w:p w:rsidR="00A57E9F" w:rsidRPr="00A57E9F" w:rsidRDefault="00A57E9F" w:rsidP="00A57E9F">
      <w:pPr>
        <w:pStyle w:val="Default"/>
        <w:jc w:val="both"/>
        <w:rPr>
          <w:color w:val="auto"/>
          <w:sz w:val="20"/>
          <w:szCs w:val="20"/>
        </w:rPr>
      </w:pPr>
      <w:r w:rsidRPr="00A57E9F">
        <w:rPr>
          <w:bCs/>
          <w:iCs/>
          <w:color w:val="auto"/>
          <w:sz w:val="20"/>
          <w:szCs w:val="20"/>
        </w:rPr>
        <w:t xml:space="preserve">Б) Размещение Биржевых облигаций путем сбора адресных заявок со стороны покупателей на приобретение Биржевых облигаций по фиксированной цене и процентной ставке по первому купону: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При размещении Биржевых облигаций путем сбора адресных заявок на приобретение Биржевых облигаций по фиксированной цене и процентной ставке по первому купону Эмитент (через Андеррайтера) вправе заключать предварительные договоры с потенциальными покупателями Биржевых облигаций, содержащие обязанность заключить в будущем с ними или с действующими в их интересах Участниками торгов основные договоры, направленные на отчуждение им размещаемых ценных бумаг (далее – «Предварительный договор»). </w:t>
      </w:r>
    </w:p>
    <w:p w:rsidR="00A57E9F" w:rsidRDefault="00A57E9F" w:rsidP="00A57E9F">
      <w:pPr>
        <w:pStyle w:val="Default"/>
        <w:ind w:firstLine="567"/>
        <w:jc w:val="both"/>
        <w:rPr>
          <w:color w:val="auto"/>
          <w:sz w:val="22"/>
          <w:szCs w:val="22"/>
        </w:rPr>
      </w:pPr>
    </w:p>
    <w:p w:rsidR="00A57E9F" w:rsidRPr="00A57E9F" w:rsidRDefault="00A57E9F" w:rsidP="00A06BCF">
      <w:pPr>
        <w:pStyle w:val="Default"/>
        <w:ind w:firstLine="567"/>
        <w:jc w:val="both"/>
        <w:rPr>
          <w:color w:val="auto"/>
          <w:sz w:val="20"/>
          <w:szCs w:val="20"/>
        </w:rPr>
      </w:pPr>
      <w:r w:rsidRPr="00A57E9F">
        <w:rPr>
          <w:color w:val="auto"/>
          <w:sz w:val="20"/>
          <w:szCs w:val="20"/>
        </w:rPr>
        <w:t xml:space="preserve">Порядок заключения предварительных договоров с потенциальными покупателями Биржевых облигаций.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Заключение Предварительных договоров может осуществляться только в случае принятия Эмитентом решения о порядке размещения Биржевых облигаций путём сбора адресных заявок со стороны потенциальных покупателей Биржевых облигаций на приобретение Биржевых облигаций по фиксированной цене и ставке купона на первый купонный период.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Заключение таких Предварительных договоров осуществляется путем акцепта Андеррайтером от имени Эмитента оферт от потенциальных покупателей Биржевых облигаций на заключение Предварительных договоров, в соответствии с которыми потенциальный покупатель Биржевых облигаций и Эмитент (через Андеррайтера) обязуются заключить в дату начала размещения Биржевых облигаций основные договоры купли-продажи Биржевых облигаций. При этом любая оферта с предложением заключить Предварительный договор, по усмотрению Эмитента, может быть отклонена или акцептована на всю предусмотренную ею сумму или на любую сумму меньше максимальной.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Поданные оферты с предложением заключить Предварительный договор подлежат регистрации в специальном журнале учета поступивших предложений в день их поступления. В направляемых офертах с предложением заключить Предварительный договор потенциальный покупатель Биржевых облигаций указывает максимальную сумму, на которую он готов купить Биржевые облигации данного выпуска, и минимальную ставку первого купона по Биржевым облигациям, при которой он готов приобрести Биржевые облигации на указанную максимальную сумму или любую сумму меньше максимальной, а также предпочтительный для лица, делающего оферту, способ получения акцепта. Направляя оферту с предложением заключить Предварительный договор, потенциальный покупатель Биржевых облигаций соглашается с тем, что она может быть отклонена или акцептована на всю предусмотренную ею сумму или на любую сумму меньше максимальной по усмотрению Эмитента.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Ответ о принятии предложения на заключение Предварительного договора (акцепт) направляется лицам, определяемым Эмитентом по его усмотрению из числа потенциальных покупателей Биржевых облигаций, сделавших такие предложения (оферты) способом, указанным в оферте потенциального покупателя Биржевых облигаций, не позднее даты, непосредственно предшествующей дате начала размещения Биржевых облигаций.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В случае размещения Биржевых облигаций путем сбора адресных заявок со стороны покупателей на приобретение Биржевых облигаций по фиксированной цене и ставке купона на первый купонный период единоличный исполнительный орган Эмитента  до даты начала размещения Биржевых облигаций принимает решение о величине процентной ставки купона на первый купонный период.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Эмитент уведомляет ФБ ММВБ и НРД об определенной ставке по первому купону не позднее даты начала размещения Биржевых облигаций.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Информация о величине процентной ставки купона на первый купонный период либо указывается в Условиях выпуска либо раскрывается Эмитентом в порядке, предусмотренном в п. 11. Программы биржевых облигаций. </w:t>
      </w:r>
    </w:p>
    <w:p w:rsidR="00A57E9F" w:rsidRDefault="00A57E9F" w:rsidP="00A57E9F">
      <w:pPr>
        <w:pStyle w:val="Default"/>
        <w:ind w:firstLine="567"/>
        <w:jc w:val="both"/>
        <w:rPr>
          <w:color w:val="auto"/>
          <w:sz w:val="22"/>
          <w:szCs w:val="22"/>
        </w:rPr>
      </w:pPr>
    </w:p>
    <w:p w:rsidR="00A57E9F" w:rsidRPr="00A57E9F" w:rsidRDefault="00A57E9F" w:rsidP="00A57E9F">
      <w:pPr>
        <w:pStyle w:val="Default"/>
        <w:ind w:firstLine="567"/>
        <w:jc w:val="both"/>
        <w:rPr>
          <w:color w:val="auto"/>
          <w:sz w:val="20"/>
          <w:szCs w:val="20"/>
        </w:rPr>
      </w:pPr>
      <w:r w:rsidRPr="00A57E9F">
        <w:rPr>
          <w:color w:val="auto"/>
          <w:sz w:val="20"/>
          <w:szCs w:val="20"/>
        </w:rPr>
        <w:t xml:space="preserve">Порядок раскрытия информации о сроке для направления оферт от потенциальных приобретателей Биржевых облигаций с предложением заключить Предварительные договоры: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Прием оферт от потенциальных покупателей Биржевых облигаций с предложением заключить Предварительный договор допускается только после раскрытия в ленте новостей информации о сроке направления оферт от потенциальных покупателей Биржевых облигаций с предложением заключить Предварительные договоры. Такая информация раскрывается Эмитентом в порядке, предусмотренном в п. 11. Программы биржевых облигаций.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Первоначально установленная решением единоличного исполнительного органа Эмитента дата окончания срока для направления оферт от потенциальных покупателей на заключение Предварительных договоров может быть изменена решением единоличного исполнительного органа Эмитента. Информация об этом раскрывается в порядке, предусмотренном в п. 11. Программы биржевых облигаций.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Информация об истечении срока для направления предложений (оферт) от потенциальных покупателей Биржевых облигаций с предложением заключить Предварительный договор раскрывается Эмитентом в порядке, предусмотренном в п. 11. Программы биржевых облигаций. </w:t>
      </w:r>
    </w:p>
    <w:p w:rsidR="00A57E9F" w:rsidRDefault="00A57E9F" w:rsidP="00A57E9F">
      <w:pPr>
        <w:pStyle w:val="Default"/>
        <w:ind w:firstLine="567"/>
        <w:jc w:val="both"/>
        <w:rPr>
          <w:color w:val="auto"/>
          <w:sz w:val="22"/>
          <w:szCs w:val="22"/>
        </w:rPr>
      </w:pPr>
    </w:p>
    <w:p w:rsidR="00A57E9F" w:rsidRPr="00A57E9F" w:rsidRDefault="00A57E9F" w:rsidP="00A57E9F">
      <w:pPr>
        <w:pStyle w:val="Default"/>
        <w:ind w:firstLine="567"/>
        <w:jc w:val="both"/>
        <w:rPr>
          <w:color w:val="auto"/>
          <w:sz w:val="20"/>
          <w:szCs w:val="20"/>
        </w:rPr>
      </w:pPr>
      <w:r w:rsidRPr="00A57E9F">
        <w:rPr>
          <w:color w:val="auto"/>
          <w:sz w:val="20"/>
          <w:szCs w:val="20"/>
        </w:rPr>
        <w:t xml:space="preserve">Заключение основных договоров купли-продажи Биржевых облигаций.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Основные договоры купли-продажи Биржевых облигаций заключаются по цене размещения Биржевых облигаций, установленной в соответствии с п. 8.4 Программы биржевых облигаций, путем выставления адресных заявок в системе торгов ФБ ММВБ в порядке, установленном настоящим подпунктом. </w:t>
      </w:r>
    </w:p>
    <w:p w:rsidR="00A57E9F" w:rsidRPr="00A57E9F" w:rsidRDefault="00A57E9F" w:rsidP="00A57E9F">
      <w:pPr>
        <w:pStyle w:val="Default"/>
        <w:ind w:firstLine="567"/>
        <w:jc w:val="both"/>
        <w:rPr>
          <w:rFonts w:ascii="Arial" w:hAnsi="Arial" w:cs="Arial"/>
          <w:b/>
          <w:bCs/>
          <w:i/>
          <w:iCs/>
          <w:color w:val="auto"/>
          <w:sz w:val="20"/>
          <w:szCs w:val="20"/>
        </w:rPr>
      </w:pP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Размещение Биржевых облигаций путем сбора адресных заявок означает направление адресованного неопределенному кругу лиц приглашения в дату начала размещения Биржевых облигаций делать предложения (оферты) о приобретении размещаемых Биржевых облигаций по фиксированной цене - цене размещения Биржевых облигаций, установленной в п. 8.4. Программы биржевых облигаций, и определенной до даты начала размещения ставке купона на первый купонный период в соответствии с регламентом ФБ ММВБ.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В ответ на вышеуказанное приглашение Участники торгов ФБ ММВБ в дату начала размещения Биржевых облигаций и в течение периода подачи адресных заявок, установленного ФБ ММВБ по согласованию с Эмитентом и/или Андеррайтером (далее - «Период подачи заявок»), подают в адрес Андеррайтера заявки на покупку Биржевых облигаций с использованием системы торгов ФБ ММВБ в соответствии с Правилами ФБ ММВБ как за свой счет, так и за счет и по поручению потенциальных покупателей Биржевых облигаций (далее – «Заявки»).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Ответ о принятии предложений (оферт) о приобретении размещаемых Биржевых облигаций направляется Участникам торгов, определяемым по усмотрению Эмитента из числа Участников торгов, сделавших такие предложения (оферты), путем выставления Андеррайтером встречных адресных заявок. При этом Участник торгов соглашается с тем, что его Заявка может быть отклонена или акцептована на всю предусмотренную ею сумму или на любую сумму меньше максимальной по усмотрению Эмитента.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В случае если потенциальный покупатель не является Участником торгов, он должен заключить соответствующий договор с любым Участником торгов, и дать ему поручение на приобретение Биржевых облигаций. Потенциальный покупатель Биржевых облигаций, являющийся Участником торгов, действует самостоятельно.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Потенциальный покупатель Биржевых облигаций должен открыть счет депо в НРД или Депозитарии. Порядок и сроки открытия счетов депо определяются положениями регламентов НРД и соответствующих Депозитариев.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Поданные адресные Заявки со стороны Участников торгов являются офертами на приобретение размещаемых Биржевых облигаций. </w:t>
      </w:r>
    </w:p>
    <w:p w:rsidR="00A57E9F" w:rsidRPr="00A57E9F" w:rsidRDefault="00A57E9F" w:rsidP="00A57E9F">
      <w:pPr>
        <w:pStyle w:val="Default"/>
        <w:ind w:firstLine="567"/>
        <w:jc w:val="both"/>
        <w:rPr>
          <w:rFonts w:ascii="Arial" w:hAnsi="Arial" w:cs="Arial"/>
          <w:b/>
          <w:bCs/>
          <w:i/>
          <w:iCs/>
          <w:color w:val="auto"/>
          <w:sz w:val="20"/>
          <w:szCs w:val="20"/>
        </w:rPr>
      </w:pP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Заявка должна содержать следующие значимые условия: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 цена покупки;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 количество Биржевых облигаций;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 код расчетов, используемый при заключении сделки с ценными бумагами, подлежащей включению в клиринговый пул клиринговой организации на условиях многостороннего или простого клиринга, и определяющий, что при совершении сделки проводится процедура контроля обеспечения, а надлежащей датой исполнения сделки с ценными бумагами является дата заключения сделки;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 прочие параметры в соответствии с Правилами ФБ ММВБ. </w:t>
      </w:r>
    </w:p>
    <w:p w:rsidR="00A57E9F" w:rsidRPr="00A57E9F" w:rsidRDefault="00A57E9F" w:rsidP="00A57E9F">
      <w:pPr>
        <w:pStyle w:val="Default"/>
        <w:ind w:firstLine="567"/>
        <w:jc w:val="both"/>
        <w:rPr>
          <w:rFonts w:ascii="Arial" w:hAnsi="Arial" w:cs="Arial"/>
          <w:b/>
          <w:bCs/>
          <w:i/>
          <w:iCs/>
          <w:color w:val="auto"/>
          <w:sz w:val="20"/>
          <w:szCs w:val="20"/>
        </w:rPr>
      </w:pP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В качестве цены покупки должна быть указана цена размещения Биржевых облигаций, установленная в п. 8.4. Программы биржевых облигаций (в процентах от номинальной стоимости Биржевых облигаций).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В качестве количества Биржевых облигаций должно быть указано то максимальное количество Биржевых облигаций, которое потенциальный покупатель хотел бы приобрести по определенной до даты начала размещения ставке по первому купону.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При этом денежные средства должны быть зарезервированы на торговых счетах Участников торгов в НРД в сумме, достаточной для полной оплаты Биржевых облигаций, указанных в заявках на приобретение Биржевых облигаций, с учётом всех необходимых комиссионных сборов.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Заявки, не соответствующие изложенным выше требованиям, не принимаются.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Время и порядок подачи адресных заявок в течение периода подачи заявок по фиксированной цене и ставке купона на первый купонный период устанавливается Биржей по согласованию с Эмитентом и/или Андеррайтером.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По окончании Периода подачи заявок ФБ ММВБ составляет сводный реестр заявок на покупку ценных бумаг (далее – «Сводный реестр заявок») и передает его Андеррайтеру. Сводный реестр заявок содержит все значимые условия каждой Заявки – цену приобретения, количество ценных бумаг, дату и время поступления Заявки, номер Заявки, а также иные реквизиты в соответствии с Правилами ФБ ММВБ.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На основании анализа Сводного реестра заявок Эмитент определяет Участников торгов, которым он намеревается продать Биржевые облигации, а также количество Биржевых облигаций, которое он намеревается продать данным Участникам торгов и передает эту информацию Андеррайтеру. Андеррайтер заключает сделки купли-продажи Биржевых облигаций путем подачи в систему торгов ФБ ММВБ встречных заявок по отношению к Заявкам, поданным Участниками торгов, которым Эмитент намеревается продать Биржевые облигации. При этом первоочередному удовлетворению (и не могут быть отклонены) подлежат Заявки тех Участников торгов, с которыми, либо с клиентами которых (в случае, если Участник торгов действует в ходе размещения в качестве агента по приобретению Биржевых облигаций за счет потенциального покупателя Биржевых облигаций, не являющегося Участником торгов) Эмитент (через Андеррайтера) заключил Предварительные договоры, в соответствии с которыми потенциальный покупатель Биржевых облигаций и Эмитент (через Андеррайтера) обязуются заключить в дату начала размещения Биржевых облигаций основные договоры купли-продажи Биржевых облигаций, при условии, что такие Заявки поданы указанными Участниками торгов во исполнение заключенных Предварительных договоров. Факт невыставления встречной адресной заявки Андеррайтером будет означать, что Эмитентом было принято решение об отклонении Заявки. </w:t>
      </w:r>
    </w:p>
    <w:p w:rsidR="00A57E9F" w:rsidRPr="00A57E9F" w:rsidRDefault="00A57E9F" w:rsidP="00A57E9F">
      <w:pPr>
        <w:pStyle w:val="Default"/>
        <w:ind w:firstLine="567"/>
        <w:jc w:val="both"/>
        <w:rPr>
          <w:rFonts w:ascii="Arial" w:hAnsi="Arial" w:cs="Arial"/>
          <w:b/>
          <w:bCs/>
          <w:i/>
          <w:iCs/>
          <w:color w:val="auto"/>
          <w:sz w:val="20"/>
          <w:szCs w:val="20"/>
        </w:rPr>
      </w:pPr>
    </w:p>
    <w:p w:rsidR="00A57E9F" w:rsidRPr="00A57E9F" w:rsidRDefault="00A57E9F" w:rsidP="00A57E9F">
      <w:pPr>
        <w:pStyle w:val="Default"/>
        <w:ind w:firstLine="567"/>
        <w:jc w:val="both"/>
        <w:rPr>
          <w:rFonts w:ascii="Arial" w:hAnsi="Arial" w:cs="Arial"/>
          <w:b/>
          <w:bCs/>
          <w:i/>
          <w:iCs/>
          <w:color w:val="auto"/>
          <w:sz w:val="20"/>
          <w:szCs w:val="20"/>
        </w:rPr>
      </w:pPr>
      <w:r w:rsidRPr="00A57E9F">
        <w:rPr>
          <w:rFonts w:ascii="Arial" w:hAnsi="Arial" w:cs="Arial"/>
          <w:b/>
          <w:bCs/>
          <w:i/>
          <w:iCs/>
          <w:color w:val="auto"/>
          <w:sz w:val="20"/>
          <w:szCs w:val="20"/>
        </w:rPr>
        <w:t xml:space="preserve">В случае неполного размещения выпуска Биржевых облигаций по итогам Периода подачи заявок Участники торгов, действующие как за свой счет, так и за счет и по поручению потенциальных покупателей Биржевых облигаций, могут в течение срока размещения Биржевых облигаций подавать адресные Заявки на покупку Биржевых облигаций по цене размещения, установленной в соответствии с п. 8.4 Программы биржевых облигаций, в адрес Андеррайтера. Выставляемые Заявки должны содержать все значимые условия, указанные выше. Порядок рассмотрения и акцепта Заявок, выставленных после Периода подачи заявок, аналогичен порядку, указанному в отношении Заявок, выставленных в Период подачи заявок.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Заключение сделок по размещению Биржевых облигаций начинается в дату начала размещения Биржевых облигаций после окончания Периода подачи заявок по фиксированной цене и ставке первого купона выставляемых Участниками торгов в адрес Андеррайтера.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Поданные заявки на покупку Биржевых облигаций удовлетворяются Андеррайтером в полном объеме в случае, если количество Биржевых облигаций в заявке на покупку Биржевых облигаций не превосходит количества недоразмещенных Биржевых облигаций выпуска (в пределах общего количества предлагаемых к размещению Биржевых облигаций). В случае, если объем заявки на покупку Биржевых облигаций превышает количество Биржевых облигаций, оставшихся неразмещёнными, то данная заявка на покупку Биржевых облигаций удовлетворяется в размере неразмещенного остатка. В случае размещения Андеррайтером всего объёма предлагаемых к размещению Биржевых облигаций акцепт последующих заявок на приобретение Биржевых облигаций не производится. </w:t>
      </w:r>
    </w:p>
    <w:p w:rsidR="00A57E9F" w:rsidRPr="00A57E9F" w:rsidRDefault="00A57E9F" w:rsidP="00A57E9F">
      <w:pPr>
        <w:pStyle w:val="Default"/>
        <w:ind w:firstLine="567"/>
        <w:jc w:val="both"/>
        <w:rPr>
          <w:rFonts w:ascii="Arial" w:hAnsi="Arial" w:cs="Arial"/>
          <w:b/>
          <w:bCs/>
          <w:i/>
          <w:iCs/>
          <w:color w:val="auto"/>
          <w:sz w:val="20"/>
          <w:szCs w:val="20"/>
        </w:rPr>
      </w:pP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Начиная со второго дня размещения Биржевых облигаций, покупатель при приобретении Биржевых облигаций уплачивает дополнительно к цене размещения Биржевых облигаций накопленный купонный доход по Биржевым облигациям (НКД), определяемый по формуле, которая приведена в п. 8.4 Программы биржевых облигаций.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Величина НКД в расчете на одну Биржевую облигацию рассчитывается с точностью до одной копейки (округление производится по правилам математического округления до ближайшего целого числа; при этом под правилом математического округления следует понимать метод округления, при котором значение целой копейки (целых копеек) не изменяется, если следующая за округляемой цифра равна от 0 до 4, и изменяется, увеличиваясь на единицу, если следующая за округляемой цифра равна от 5 до 9). </w:t>
      </w:r>
    </w:p>
    <w:p w:rsidR="00A57E9F" w:rsidRPr="00A57E9F" w:rsidRDefault="00A57E9F" w:rsidP="00A57E9F">
      <w:pPr>
        <w:pStyle w:val="Default"/>
        <w:ind w:firstLine="567"/>
        <w:jc w:val="both"/>
        <w:rPr>
          <w:rFonts w:ascii="Arial" w:hAnsi="Arial" w:cs="Arial"/>
          <w:b/>
          <w:bCs/>
          <w:i/>
          <w:iCs/>
          <w:color w:val="auto"/>
          <w:sz w:val="20"/>
          <w:szCs w:val="20"/>
        </w:rPr>
      </w:pP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Заключение сделок по размещению Биржевых облигаций и расчеты по ним производятся в соответствии с Правилами Биржи. </w:t>
      </w:r>
    </w:p>
    <w:p w:rsidR="00D004B6" w:rsidRDefault="00D004B6" w:rsidP="00886DC8">
      <w:pPr>
        <w:widowControl/>
        <w:spacing w:before="0" w:after="0"/>
        <w:ind w:firstLine="540"/>
        <w:jc w:val="both"/>
        <w:rPr>
          <w:rFonts w:eastAsiaTheme="minorHAnsi"/>
          <w:lang w:eastAsia="en-US"/>
        </w:rPr>
      </w:pPr>
    </w:p>
    <w:p w:rsidR="00A57E9F" w:rsidRPr="00A57E9F" w:rsidRDefault="00A57E9F" w:rsidP="00A06BCF">
      <w:pPr>
        <w:pStyle w:val="Default"/>
        <w:ind w:firstLine="567"/>
        <w:jc w:val="both"/>
        <w:rPr>
          <w:color w:val="auto"/>
          <w:sz w:val="20"/>
          <w:szCs w:val="20"/>
        </w:rPr>
      </w:pPr>
      <w:r w:rsidRPr="00A57E9F">
        <w:rPr>
          <w:color w:val="auto"/>
          <w:sz w:val="20"/>
          <w:szCs w:val="20"/>
        </w:rPr>
        <w:t xml:space="preserve">Возможность преимущественного приобретения размещаемых ценных бумаг, в том числе возможность осуществления преимущественного права приобретения ценных бумаг, предусмотренного статьями 40 и 41 Федерального закона "Об акционерных обществах": </w:t>
      </w:r>
    </w:p>
    <w:p w:rsidR="00A57E9F" w:rsidRPr="00A57E9F" w:rsidRDefault="00A57E9F" w:rsidP="00A06BC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Преимущественное право приобретения размещаемых ценных бумаг не предусмотрено. </w:t>
      </w:r>
    </w:p>
    <w:p w:rsidR="00A57E9F" w:rsidRPr="00A57E9F" w:rsidRDefault="00A57E9F" w:rsidP="00A06BCF">
      <w:pPr>
        <w:pStyle w:val="Default"/>
        <w:ind w:firstLine="567"/>
        <w:jc w:val="both"/>
        <w:rPr>
          <w:color w:val="auto"/>
          <w:sz w:val="20"/>
          <w:szCs w:val="20"/>
        </w:rPr>
      </w:pPr>
    </w:p>
    <w:p w:rsidR="00A57E9F" w:rsidRPr="00A57E9F" w:rsidRDefault="00A57E9F" w:rsidP="00A06BCF">
      <w:pPr>
        <w:pStyle w:val="Default"/>
        <w:ind w:firstLine="567"/>
        <w:jc w:val="both"/>
        <w:rPr>
          <w:color w:val="auto"/>
          <w:sz w:val="20"/>
          <w:szCs w:val="20"/>
        </w:rPr>
      </w:pPr>
      <w:r w:rsidRPr="00A57E9F">
        <w:rPr>
          <w:color w:val="auto"/>
          <w:sz w:val="20"/>
          <w:szCs w:val="20"/>
        </w:rPr>
        <w:t xml:space="preserve">Для именных ценных бумаг, ведение реестра владельцев которых осуществляется регистратором, - лицо, которому эмитент выдает (направляет) передаточное распоряжение, являющееся основанием для внесения приходной записи по лицевому счету или счету депо первого владельца (регистратор, депозитарий, первый владелец), срок и иные условия выдачи передаточного распоряжения: </w:t>
      </w:r>
    </w:p>
    <w:p w:rsidR="00A57E9F" w:rsidRPr="00A57E9F" w:rsidRDefault="00A57E9F" w:rsidP="00A06BC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Биржевые облигации не являются именными ценными бумагами. </w:t>
      </w:r>
    </w:p>
    <w:p w:rsidR="00A57E9F" w:rsidRPr="00A57E9F" w:rsidRDefault="00A57E9F" w:rsidP="00A06BCF">
      <w:pPr>
        <w:pStyle w:val="Default"/>
        <w:ind w:firstLine="567"/>
        <w:jc w:val="both"/>
        <w:rPr>
          <w:color w:val="auto"/>
          <w:sz w:val="20"/>
          <w:szCs w:val="20"/>
        </w:rPr>
      </w:pPr>
    </w:p>
    <w:p w:rsidR="00A57E9F" w:rsidRPr="00A57E9F" w:rsidRDefault="00A57E9F" w:rsidP="00A06BCF">
      <w:pPr>
        <w:pStyle w:val="Default"/>
        <w:ind w:firstLine="567"/>
        <w:jc w:val="both"/>
        <w:rPr>
          <w:color w:val="auto"/>
          <w:sz w:val="20"/>
          <w:szCs w:val="20"/>
        </w:rPr>
      </w:pPr>
      <w:r w:rsidRPr="00A57E9F">
        <w:rPr>
          <w:color w:val="auto"/>
          <w:sz w:val="20"/>
          <w:szCs w:val="20"/>
        </w:rPr>
        <w:t xml:space="preserve">Для документарных ценных бумаг с обязательным централизованным хранением – порядок, в том числе срок, внесения приходной записи по счету депо первого владельца в депозитарии, осуществляющем учет прав на указанные ценные бумаги: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Для совершения сделки купли-продажи Биржевых облигаций при их размещении потенциальный покупатель обязан заранее (до даты начала размещения Биржевых облигаций) открыть соответствующий счёт депо в НРД, осуществляющем централизованное хранение Биржевых облигаций выпуска, или в другом Депозитарии. Порядок и сроки открытия счетов депо определяются положениями регламентов соответствующих депозитариев.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Приходная запись по счету депо первого приобретателя в НРД вносится на основании информации, полученной от клиринговой организации, обслуживающей расчеты по сделкам, оформленным в процессе размещения Биржевых облигаций на Бирже (далее и ранее - «Клиринговая организация»). Размещенные Биржевые облигации зачисляются НРД или Депозитариями на счета депо покупателей Биржевых облигаций в соответствии с условиями осуществления клиринговой деятельности клиринговой организации и условиями осуществления депозитарной деятельности НРД или Депозитариев.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Проданные при размещении Биржевые облигации зачисляются НРД или Депозитариями на счета депо покупателей Биржевых облигаций в дату совершения сделки купли-продажи в соответствии с условиями осуществления депозитарной деятельности НРД и Депозитариев. </w:t>
      </w:r>
    </w:p>
    <w:p w:rsidR="007319A1" w:rsidRPr="00A57E9F" w:rsidRDefault="007319A1" w:rsidP="001D210C">
      <w:pPr>
        <w:widowControl/>
        <w:spacing w:before="0" w:after="0"/>
        <w:ind w:firstLine="567"/>
        <w:jc w:val="both"/>
        <w:rPr>
          <w:rFonts w:eastAsiaTheme="minorHAnsi"/>
          <w:lang w:eastAsia="en-US"/>
        </w:rPr>
      </w:pPr>
    </w:p>
    <w:p w:rsidR="00A57E9F" w:rsidRPr="00A57E9F" w:rsidRDefault="00A57E9F" w:rsidP="00A06BCF">
      <w:pPr>
        <w:pStyle w:val="Default"/>
        <w:ind w:firstLine="567"/>
        <w:jc w:val="both"/>
        <w:rPr>
          <w:color w:val="auto"/>
          <w:sz w:val="20"/>
          <w:szCs w:val="20"/>
        </w:rPr>
      </w:pPr>
      <w:r w:rsidRPr="00A57E9F">
        <w:rPr>
          <w:color w:val="auto"/>
          <w:sz w:val="20"/>
          <w:szCs w:val="20"/>
        </w:rPr>
        <w:t xml:space="preserve">Расходы, связанные с внесением приходных записей о зачислении размещаемых биржевых облигаций на счета депо их первых владельцев (приобретателей): </w:t>
      </w:r>
    </w:p>
    <w:p w:rsidR="00A57E9F" w:rsidRPr="00A57E9F" w:rsidRDefault="00A57E9F" w:rsidP="00A06BC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Все расходы, связанные с внесением приходных записей о зачислении размещаемых Биржевых облигаций на счета депо их первых владельцев (приобретателей) несут первые владельцы (приобретатели) таких Биржевых облигаций. </w:t>
      </w:r>
    </w:p>
    <w:p w:rsidR="00A57E9F" w:rsidRPr="00A57E9F" w:rsidRDefault="00A57E9F" w:rsidP="00A06BCF">
      <w:pPr>
        <w:pStyle w:val="Default"/>
        <w:ind w:firstLine="567"/>
        <w:jc w:val="both"/>
        <w:rPr>
          <w:color w:val="auto"/>
          <w:sz w:val="20"/>
          <w:szCs w:val="20"/>
        </w:rPr>
      </w:pPr>
    </w:p>
    <w:p w:rsidR="00A57E9F" w:rsidRPr="00A57E9F" w:rsidRDefault="00A57E9F" w:rsidP="00A06BCF">
      <w:pPr>
        <w:pStyle w:val="Default"/>
        <w:ind w:firstLine="567"/>
        <w:jc w:val="both"/>
        <w:rPr>
          <w:color w:val="auto"/>
          <w:sz w:val="20"/>
          <w:szCs w:val="20"/>
        </w:rPr>
      </w:pPr>
      <w:r w:rsidRPr="00A57E9F">
        <w:rPr>
          <w:color w:val="auto"/>
          <w:sz w:val="20"/>
          <w:szCs w:val="20"/>
        </w:rPr>
        <w:t xml:space="preserve">Для документарных ценных бумаг без обязательного централизованного хранения – порядок, в том числе срок, выдачи первым владельцам сертификатов ценных бумаг: </w:t>
      </w:r>
    </w:p>
    <w:p w:rsidR="00A57E9F" w:rsidRPr="00A57E9F" w:rsidRDefault="00A57E9F" w:rsidP="00A06BC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По Биржевым облигациям предусмотрено обязательное централизованное хранение. </w:t>
      </w:r>
    </w:p>
    <w:p w:rsidR="00A57E9F" w:rsidRDefault="00A57E9F" w:rsidP="00A06BCF">
      <w:pPr>
        <w:pStyle w:val="Default"/>
        <w:ind w:firstLine="567"/>
        <w:jc w:val="both"/>
        <w:rPr>
          <w:color w:val="auto"/>
          <w:sz w:val="22"/>
          <w:szCs w:val="22"/>
        </w:rPr>
      </w:pPr>
    </w:p>
    <w:p w:rsidR="00A57E9F" w:rsidRPr="00A57E9F" w:rsidRDefault="00A57E9F" w:rsidP="00A06BCF">
      <w:pPr>
        <w:pStyle w:val="Default"/>
        <w:ind w:firstLine="567"/>
        <w:jc w:val="both"/>
        <w:rPr>
          <w:color w:val="auto"/>
          <w:sz w:val="20"/>
          <w:szCs w:val="20"/>
        </w:rPr>
      </w:pPr>
      <w:r w:rsidRPr="00A57E9F">
        <w:rPr>
          <w:color w:val="auto"/>
          <w:sz w:val="20"/>
          <w:szCs w:val="20"/>
        </w:rPr>
        <w:t xml:space="preserve">В случае, если ценные бумаги размещаются посредством закрытой подписки в несколько этапов, условия размещения по каждому из которых не совпадают (различаются), раскрываются сроки (порядок определения сроков) размещения ценных бумаг по каждому этапу и не совпадающие условия размещения. </w:t>
      </w:r>
    </w:p>
    <w:p w:rsidR="00A57E9F" w:rsidRPr="00A57E9F" w:rsidRDefault="00A57E9F" w:rsidP="00A06BC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Биржевые облигации</w:t>
      </w:r>
      <w:r w:rsidRPr="00A57E9F" w:rsidDel="00575C68">
        <w:rPr>
          <w:rFonts w:ascii="Arial" w:hAnsi="Arial" w:cs="Arial"/>
          <w:b/>
          <w:bCs/>
          <w:i/>
          <w:iCs/>
          <w:color w:val="auto"/>
          <w:sz w:val="20"/>
          <w:szCs w:val="20"/>
        </w:rPr>
        <w:t xml:space="preserve"> </w:t>
      </w:r>
      <w:r w:rsidRPr="00A57E9F">
        <w:rPr>
          <w:rFonts w:ascii="Arial" w:hAnsi="Arial" w:cs="Arial"/>
          <w:b/>
          <w:bCs/>
          <w:i/>
          <w:iCs/>
          <w:color w:val="auto"/>
          <w:sz w:val="20"/>
          <w:szCs w:val="20"/>
        </w:rPr>
        <w:t xml:space="preserve">не размещаются посредством закрытой подписки в несколько этапов, условия размещения по каждому из которых не совпадают. </w:t>
      </w:r>
    </w:p>
    <w:p w:rsidR="00A57E9F" w:rsidRPr="00A57E9F" w:rsidRDefault="00A57E9F" w:rsidP="00A06BCF">
      <w:pPr>
        <w:pStyle w:val="Default"/>
        <w:ind w:firstLine="567"/>
        <w:jc w:val="both"/>
        <w:rPr>
          <w:color w:val="auto"/>
          <w:sz w:val="20"/>
          <w:szCs w:val="20"/>
        </w:rPr>
      </w:pPr>
    </w:p>
    <w:p w:rsidR="00A57E9F" w:rsidRPr="00A57E9F" w:rsidRDefault="00A57E9F" w:rsidP="00A06BCF">
      <w:pPr>
        <w:pStyle w:val="Default"/>
        <w:ind w:firstLine="567"/>
        <w:jc w:val="both"/>
        <w:rPr>
          <w:color w:val="auto"/>
          <w:sz w:val="20"/>
          <w:szCs w:val="20"/>
        </w:rPr>
      </w:pPr>
      <w:r w:rsidRPr="00A57E9F">
        <w:rPr>
          <w:color w:val="auto"/>
          <w:sz w:val="20"/>
          <w:szCs w:val="20"/>
        </w:rPr>
        <w:t xml:space="preserve">В случае, если ценные бумаги размещаются посредством подписки путем проведения торгов, дополнительно указывается наименование лица, организующего проведение торгов (эмитент, специализированная организация). Если организация торгов осуществляется специализированной организацией, указываются ее полное и сокращенное фирменные наименования, место нахождения, а если организованные торги проводятся биржей или иным организатором торговли, - также номер, дата выдачи, срок действия лицензии, на основании которой биржа или иной организатор торговли вправе осуществлять деятельность по организации торговли на рынке ценных бумаг, орган, выдавший указанную лицензию. </w:t>
      </w:r>
    </w:p>
    <w:p w:rsidR="00A57E9F" w:rsidRPr="00A57E9F" w:rsidRDefault="00A57E9F" w:rsidP="00A57E9F">
      <w:pPr>
        <w:pStyle w:val="Default"/>
        <w:jc w:val="both"/>
        <w:rPr>
          <w:color w:val="auto"/>
          <w:sz w:val="20"/>
          <w:szCs w:val="20"/>
        </w:rPr>
      </w:pPr>
    </w:p>
    <w:p w:rsidR="00A57E9F" w:rsidRPr="00A57E9F" w:rsidRDefault="00A57E9F" w:rsidP="00A57E9F">
      <w:pPr>
        <w:pStyle w:val="Default"/>
        <w:jc w:val="both"/>
        <w:rPr>
          <w:color w:val="auto"/>
          <w:sz w:val="20"/>
          <w:szCs w:val="20"/>
        </w:rPr>
      </w:pPr>
      <w:r w:rsidRPr="00A57E9F">
        <w:rPr>
          <w:color w:val="auto"/>
          <w:sz w:val="20"/>
          <w:szCs w:val="20"/>
        </w:rPr>
        <w:t>Сведения о лице, организующем проведение торгов</w:t>
      </w:r>
      <w:r w:rsidRPr="00A57E9F">
        <w:rPr>
          <w:b/>
          <w:bCs/>
          <w:color w:val="auto"/>
          <w:sz w:val="20"/>
          <w:szCs w:val="20"/>
        </w:rPr>
        <w:t xml:space="preserve">: </w:t>
      </w:r>
    </w:p>
    <w:p w:rsidR="00A57E9F" w:rsidRPr="00A57E9F" w:rsidRDefault="00A57E9F" w:rsidP="00A57E9F">
      <w:pPr>
        <w:pStyle w:val="Default"/>
        <w:jc w:val="both"/>
        <w:rPr>
          <w:color w:val="auto"/>
          <w:sz w:val="20"/>
          <w:szCs w:val="20"/>
        </w:rPr>
      </w:pPr>
      <w:r w:rsidRPr="00A57E9F">
        <w:rPr>
          <w:color w:val="auto"/>
          <w:sz w:val="20"/>
          <w:szCs w:val="20"/>
        </w:rPr>
        <w:t xml:space="preserve">Полное фирменное наименование: </w:t>
      </w:r>
      <w:r w:rsidRPr="00A57E9F">
        <w:rPr>
          <w:rFonts w:ascii="Arial" w:hAnsi="Arial" w:cs="Arial"/>
          <w:b/>
          <w:bCs/>
          <w:i/>
          <w:iCs/>
          <w:color w:val="auto"/>
          <w:sz w:val="20"/>
          <w:szCs w:val="20"/>
        </w:rPr>
        <w:t>Закрытое акционерное общество «Фондовая биржа ММВБ»</w:t>
      </w:r>
      <w:r w:rsidRPr="00A57E9F">
        <w:rPr>
          <w:b/>
          <w:bCs/>
          <w:i/>
          <w:iCs/>
          <w:color w:val="auto"/>
          <w:sz w:val="20"/>
          <w:szCs w:val="20"/>
        </w:rPr>
        <w:t xml:space="preserve"> </w:t>
      </w:r>
    </w:p>
    <w:p w:rsidR="00A57E9F" w:rsidRPr="00A57E9F" w:rsidRDefault="00A57E9F" w:rsidP="00A57E9F">
      <w:pPr>
        <w:pStyle w:val="Default"/>
        <w:jc w:val="both"/>
        <w:rPr>
          <w:color w:val="auto"/>
          <w:sz w:val="20"/>
          <w:szCs w:val="20"/>
        </w:rPr>
      </w:pPr>
      <w:r w:rsidRPr="00A57E9F">
        <w:rPr>
          <w:color w:val="auto"/>
          <w:sz w:val="20"/>
          <w:szCs w:val="20"/>
        </w:rPr>
        <w:t>Сокращенное фирменное наименование</w:t>
      </w:r>
      <w:r w:rsidRPr="00A57E9F">
        <w:rPr>
          <w:b/>
          <w:bCs/>
          <w:i/>
          <w:iCs/>
          <w:color w:val="auto"/>
          <w:sz w:val="20"/>
          <w:szCs w:val="20"/>
        </w:rPr>
        <w:t xml:space="preserve">: </w:t>
      </w:r>
      <w:r w:rsidRPr="00A57E9F">
        <w:rPr>
          <w:rFonts w:ascii="Arial" w:hAnsi="Arial" w:cs="Arial"/>
          <w:b/>
          <w:bCs/>
          <w:i/>
          <w:iCs/>
          <w:color w:val="auto"/>
          <w:sz w:val="20"/>
          <w:szCs w:val="20"/>
        </w:rPr>
        <w:t>ЗАО «ФБ ММВБ», ЗАО «Фондовая биржа ММВБ»</w:t>
      </w:r>
      <w:r w:rsidRPr="00A57E9F">
        <w:rPr>
          <w:b/>
          <w:bCs/>
          <w:i/>
          <w:iCs/>
          <w:color w:val="auto"/>
          <w:sz w:val="20"/>
          <w:szCs w:val="20"/>
        </w:rPr>
        <w:t xml:space="preserve"> </w:t>
      </w:r>
    </w:p>
    <w:p w:rsidR="00A57E9F" w:rsidRPr="00A57E9F" w:rsidRDefault="00A57E9F" w:rsidP="00A57E9F">
      <w:pPr>
        <w:pStyle w:val="Default"/>
        <w:jc w:val="both"/>
        <w:rPr>
          <w:color w:val="auto"/>
          <w:sz w:val="20"/>
          <w:szCs w:val="20"/>
        </w:rPr>
      </w:pPr>
      <w:r w:rsidRPr="00A57E9F">
        <w:rPr>
          <w:color w:val="auto"/>
          <w:sz w:val="20"/>
          <w:szCs w:val="20"/>
        </w:rPr>
        <w:t xml:space="preserve">Место нахождения: </w:t>
      </w:r>
      <w:r w:rsidRPr="00A57E9F">
        <w:rPr>
          <w:rFonts w:ascii="Arial" w:hAnsi="Arial" w:cs="Arial"/>
          <w:b/>
          <w:bCs/>
          <w:i/>
          <w:iCs/>
          <w:color w:val="auto"/>
          <w:sz w:val="20"/>
          <w:szCs w:val="20"/>
        </w:rPr>
        <w:t>125009, г. Москва, Большой Кисловский переулок, дом 13</w:t>
      </w:r>
      <w:r w:rsidRPr="00A57E9F">
        <w:rPr>
          <w:b/>
          <w:bCs/>
          <w:i/>
          <w:iCs/>
          <w:color w:val="auto"/>
          <w:sz w:val="20"/>
          <w:szCs w:val="20"/>
        </w:rPr>
        <w:t xml:space="preserve"> </w:t>
      </w:r>
    </w:p>
    <w:p w:rsidR="00A57E9F" w:rsidRPr="00A57E9F" w:rsidRDefault="00A57E9F" w:rsidP="00A57E9F">
      <w:pPr>
        <w:pStyle w:val="Default"/>
        <w:jc w:val="both"/>
        <w:rPr>
          <w:color w:val="auto"/>
          <w:sz w:val="20"/>
          <w:szCs w:val="20"/>
        </w:rPr>
      </w:pPr>
      <w:r w:rsidRPr="00A57E9F">
        <w:rPr>
          <w:color w:val="auto"/>
          <w:sz w:val="20"/>
          <w:szCs w:val="20"/>
        </w:rPr>
        <w:t xml:space="preserve">Почтовый адрес: </w:t>
      </w:r>
      <w:r w:rsidRPr="00A57E9F">
        <w:rPr>
          <w:rFonts w:ascii="Arial" w:hAnsi="Arial" w:cs="Arial"/>
          <w:b/>
          <w:bCs/>
          <w:i/>
          <w:iCs/>
          <w:color w:val="auto"/>
          <w:sz w:val="20"/>
          <w:szCs w:val="20"/>
        </w:rPr>
        <w:t>125009, г. Москва, Большой Кисловский переулок, дом 13</w:t>
      </w:r>
      <w:r w:rsidRPr="00A57E9F">
        <w:rPr>
          <w:b/>
          <w:bCs/>
          <w:i/>
          <w:iCs/>
          <w:color w:val="auto"/>
          <w:sz w:val="20"/>
          <w:szCs w:val="20"/>
        </w:rPr>
        <w:t xml:space="preserve"> </w:t>
      </w:r>
    </w:p>
    <w:p w:rsidR="00A57E9F" w:rsidRPr="00A57E9F" w:rsidRDefault="00A57E9F" w:rsidP="00A57E9F">
      <w:pPr>
        <w:pStyle w:val="Default"/>
        <w:jc w:val="both"/>
        <w:rPr>
          <w:color w:val="auto"/>
          <w:sz w:val="20"/>
          <w:szCs w:val="20"/>
        </w:rPr>
      </w:pPr>
      <w:r w:rsidRPr="00A57E9F">
        <w:rPr>
          <w:color w:val="auto"/>
          <w:sz w:val="20"/>
          <w:szCs w:val="20"/>
        </w:rPr>
        <w:t xml:space="preserve">Данные о лицензии биржи: </w:t>
      </w:r>
    </w:p>
    <w:p w:rsidR="00A57E9F" w:rsidRPr="00A57E9F" w:rsidRDefault="00A57E9F" w:rsidP="00A57E9F">
      <w:pPr>
        <w:pStyle w:val="Default"/>
        <w:jc w:val="both"/>
        <w:rPr>
          <w:color w:val="auto"/>
          <w:sz w:val="20"/>
          <w:szCs w:val="20"/>
        </w:rPr>
      </w:pPr>
      <w:r w:rsidRPr="00A57E9F">
        <w:rPr>
          <w:color w:val="auto"/>
          <w:sz w:val="20"/>
          <w:szCs w:val="20"/>
        </w:rPr>
        <w:t xml:space="preserve">Номер лицензии: </w:t>
      </w:r>
      <w:r w:rsidRPr="00A57E9F">
        <w:rPr>
          <w:rFonts w:ascii="Arial" w:hAnsi="Arial" w:cs="Arial"/>
          <w:b/>
          <w:bCs/>
          <w:i/>
          <w:iCs/>
          <w:color w:val="auto"/>
          <w:sz w:val="20"/>
          <w:szCs w:val="20"/>
        </w:rPr>
        <w:t>077-007</w:t>
      </w:r>
      <w:r w:rsidRPr="00A57E9F">
        <w:rPr>
          <w:b/>
          <w:bCs/>
          <w:i/>
          <w:iCs/>
          <w:color w:val="auto"/>
          <w:sz w:val="20"/>
          <w:szCs w:val="20"/>
        </w:rPr>
        <w:t xml:space="preserve"> </w:t>
      </w:r>
    </w:p>
    <w:p w:rsidR="00A57E9F" w:rsidRPr="00A57E9F" w:rsidRDefault="00A57E9F" w:rsidP="00A57E9F">
      <w:pPr>
        <w:pStyle w:val="Default"/>
        <w:jc w:val="both"/>
        <w:rPr>
          <w:color w:val="auto"/>
          <w:sz w:val="20"/>
          <w:szCs w:val="20"/>
        </w:rPr>
      </w:pPr>
      <w:r w:rsidRPr="00A57E9F">
        <w:rPr>
          <w:color w:val="auto"/>
          <w:sz w:val="20"/>
          <w:szCs w:val="20"/>
        </w:rPr>
        <w:t xml:space="preserve">Дата выдачи лицензии: </w:t>
      </w:r>
      <w:r w:rsidRPr="00A57E9F">
        <w:rPr>
          <w:rFonts w:ascii="Arial" w:hAnsi="Arial" w:cs="Arial"/>
          <w:b/>
          <w:bCs/>
          <w:i/>
          <w:iCs/>
          <w:color w:val="auto"/>
          <w:sz w:val="20"/>
          <w:szCs w:val="20"/>
        </w:rPr>
        <w:t>20.12.2013</w:t>
      </w:r>
      <w:r w:rsidRPr="00A57E9F">
        <w:rPr>
          <w:b/>
          <w:bCs/>
          <w:i/>
          <w:iCs/>
          <w:color w:val="auto"/>
          <w:sz w:val="20"/>
          <w:szCs w:val="20"/>
        </w:rPr>
        <w:t xml:space="preserve"> </w:t>
      </w:r>
    </w:p>
    <w:p w:rsidR="00A57E9F" w:rsidRPr="00A57E9F" w:rsidRDefault="00A57E9F" w:rsidP="00A57E9F">
      <w:pPr>
        <w:pStyle w:val="Default"/>
        <w:jc w:val="both"/>
        <w:rPr>
          <w:color w:val="auto"/>
          <w:sz w:val="20"/>
          <w:szCs w:val="20"/>
        </w:rPr>
      </w:pPr>
      <w:r w:rsidRPr="00A57E9F">
        <w:rPr>
          <w:color w:val="auto"/>
          <w:sz w:val="20"/>
          <w:szCs w:val="20"/>
        </w:rPr>
        <w:t xml:space="preserve">Срок действия лицензии: </w:t>
      </w:r>
      <w:r w:rsidRPr="00A57E9F">
        <w:rPr>
          <w:rFonts w:ascii="Arial" w:hAnsi="Arial" w:cs="Arial"/>
          <w:b/>
          <w:bCs/>
          <w:i/>
          <w:iCs/>
          <w:color w:val="auto"/>
          <w:sz w:val="20"/>
          <w:szCs w:val="20"/>
        </w:rPr>
        <w:t>Без ограничения срока действия</w:t>
      </w:r>
      <w:r w:rsidRPr="00A57E9F">
        <w:rPr>
          <w:b/>
          <w:bCs/>
          <w:i/>
          <w:iCs/>
          <w:color w:val="auto"/>
          <w:sz w:val="20"/>
          <w:szCs w:val="20"/>
        </w:rPr>
        <w:t xml:space="preserve"> </w:t>
      </w:r>
    </w:p>
    <w:p w:rsidR="00A57E9F" w:rsidRPr="00A57E9F" w:rsidRDefault="00A57E9F" w:rsidP="00A57E9F">
      <w:pPr>
        <w:pStyle w:val="Default"/>
        <w:jc w:val="both"/>
        <w:rPr>
          <w:color w:val="auto"/>
          <w:sz w:val="20"/>
          <w:szCs w:val="20"/>
        </w:rPr>
      </w:pPr>
      <w:r w:rsidRPr="00A57E9F">
        <w:rPr>
          <w:color w:val="auto"/>
          <w:sz w:val="20"/>
          <w:szCs w:val="20"/>
        </w:rPr>
        <w:t xml:space="preserve">Орган, выдавший лицензию: </w:t>
      </w:r>
      <w:r w:rsidRPr="00A57E9F">
        <w:rPr>
          <w:rFonts w:ascii="Arial" w:hAnsi="Arial" w:cs="Arial"/>
          <w:b/>
          <w:bCs/>
          <w:i/>
          <w:iCs/>
          <w:color w:val="auto"/>
          <w:sz w:val="20"/>
          <w:szCs w:val="20"/>
        </w:rPr>
        <w:t xml:space="preserve">Центральный Банк Российской Федерации (Банк России) </w:t>
      </w:r>
    </w:p>
    <w:p w:rsidR="00A57E9F" w:rsidRDefault="00A57E9F" w:rsidP="00A57E9F">
      <w:pPr>
        <w:pStyle w:val="Default"/>
        <w:ind w:firstLine="567"/>
        <w:jc w:val="both"/>
        <w:rPr>
          <w:b/>
          <w:bCs/>
          <w:i/>
          <w:iCs/>
          <w:color w:val="auto"/>
          <w:sz w:val="22"/>
          <w:szCs w:val="22"/>
        </w:rPr>
      </w:pP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При смене организатора торговли, через которого будут заключаться сделки по размещению Биржевых облигаций, Эмитент опубликует сообщение о существенном факте, содержащем сведения о новом организаторе торговли, через которого Эмитент будет заключать сделки по размещению Биржевых облигаций, в порядке, предусмотренном п. 11 Программы биржевых облигаций. </w:t>
      </w:r>
    </w:p>
    <w:p w:rsidR="00A57E9F" w:rsidRPr="00A57E9F" w:rsidRDefault="00A57E9F" w:rsidP="00A57E9F">
      <w:pPr>
        <w:pStyle w:val="Default"/>
        <w:rPr>
          <w:color w:val="auto"/>
          <w:sz w:val="20"/>
          <w:szCs w:val="20"/>
        </w:rPr>
      </w:pPr>
    </w:p>
    <w:p w:rsidR="00A57E9F" w:rsidRPr="00A57E9F" w:rsidRDefault="00A57E9F" w:rsidP="00A06BCF">
      <w:pPr>
        <w:pStyle w:val="Default"/>
        <w:ind w:firstLine="567"/>
        <w:jc w:val="both"/>
        <w:rPr>
          <w:color w:val="auto"/>
          <w:sz w:val="20"/>
          <w:szCs w:val="20"/>
        </w:rPr>
      </w:pPr>
      <w:r w:rsidRPr="00A57E9F">
        <w:rPr>
          <w:color w:val="auto"/>
          <w:sz w:val="20"/>
          <w:szCs w:val="20"/>
        </w:rPr>
        <w:t xml:space="preserve">Сведения об организации, оказывающей Эмитенту услуги по размещению и организации размещения Биржевых облигаций: </w:t>
      </w:r>
    </w:p>
    <w:p w:rsidR="00A57E9F" w:rsidRPr="00A57E9F" w:rsidRDefault="00A57E9F" w:rsidP="00A57E9F">
      <w:pPr>
        <w:pStyle w:val="Default"/>
        <w:ind w:firstLine="567"/>
        <w:jc w:val="both"/>
        <w:rPr>
          <w:rFonts w:ascii="Arial" w:hAnsi="Arial" w:cs="Arial"/>
          <w:color w:val="auto"/>
          <w:sz w:val="20"/>
          <w:szCs w:val="20"/>
          <w:u w:val="single"/>
        </w:rPr>
      </w:pPr>
      <w:r w:rsidRPr="00A57E9F">
        <w:rPr>
          <w:rFonts w:ascii="Arial" w:hAnsi="Arial" w:cs="Arial"/>
          <w:b/>
          <w:bCs/>
          <w:i/>
          <w:iCs/>
          <w:color w:val="auto"/>
          <w:sz w:val="20"/>
          <w:szCs w:val="20"/>
          <w:u w:val="single"/>
        </w:rPr>
        <w:t xml:space="preserve">Сведения о профессиональном участнике (профессиональных участниках) рынка ценных бумаг, который (которые) оказывает (оказывают) Эмитенту услуги по организации размещения Биржевых облигаций (далее – «Организатор», «Организаторы»), а также сведения о профессиональном участнике рынка ценных бумаг, который  выполняет функции посредника при размещении ценных бумаг на торгах ФБ ММВБ (далее - «Андеррайтер»), будут приведены в соответствующих Условиях выпуска. </w:t>
      </w:r>
    </w:p>
    <w:p w:rsidR="00A57E9F" w:rsidRDefault="00A57E9F" w:rsidP="00A57E9F">
      <w:pPr>
        <w:pStyle w:val="Default"/>
        <w:jc w:val="both"/>
        <w:rPr>
          <w:color w:val="auto"/>
          <w:sz w:val="22"/>
          <w:szCs w:val="22"/>
        </w:rPr>
      </w:pPr>
    </w:p>
    <w:p w:rsidR="00A57E9F" w:rsidRPr="00A57E9F" w:rsidRDefault="00A57E9F" w:rsidP="00A06BCF">
      <w:pPr>
        <w:pStyle w:val="Default"/>
        <w:ind w:firstLine="567"/>
        <w:jc w:val="both"/>
        <w:rPr>
          <w:color w:val="auto"/>
          <w:sz w:val="20"/>
          <w:szCs w:val="20"/>
        </w:rPr>
      </w:pPr>
      <w:r w:rsidRPr="00A57E9F">
        <w:rPr>
          <w:color w:val="auto"/>
          <w:sz w:val="20"/>
          <w:szCs w:val="20"/>
        </w:rPr>
        <w:t xml:space="preserve">Основные функции Андеррайтера: </w:t>
      </w:r>
    </w:p>
    <w:p w:rsidR="00A57E9F" w:rsidRPr="00A57E9F" w:rsidRDefault="00A57E9F" w:rsidP="00A57E9F">
      <w:pPr>
        <w:pStyle w:val="Default"/>
        <w:jc w:val="both"/>
        <w:rPr>
          <w:rFonts w:ascii="Arial" w:hAnsi="Arial" w:cs="Arial"/>
          <w:color w:val="auto"/>
          <w:sz w:val="20"/>
          <w:szCs w:val="20"/>
        </w:rPr>
      </w:pPr>
      <w:r w:rsidRPr="00A57E9F">
        <w:rPr>
          <w:rFonts w:ascii="Arial" w:hAnsi="Arial" w:cs="Arial"/>
          <w:b/>
          <w:bCs/>
          <w:i/>
          <w:iCs/>
          <w:color w:val="auto"/>
          <w:sz w:val="20"/>
          <w:szCs w:val="20"/>
        </w:rPr>
        <w:t xml:space="preserve">- прием оферт от потенциальных покупателей Биржевых облигаций с предложением заключить Предварительный договор и акцепт указанных оферт от имени Эмитента; </w:t>
      </w:r>
    </w:p>
    <w:p w:rsidR="00A57E9F" w:rsidRPr="00A57E9F" w:rsidRDefault="00A57E9F" w:rsidP="00A57E9F">
      <w:pPr>
        <w:pStyle w:val="Default"/>
        <w:jc w:val="both"/>
        <w:rPr>
          <w:rFonts w:ascii="Arial" w:hAnsi="Arial" w:cs="Arial"/>
          <w:color w:val="auto"/>
          <w:sz w:val="20"/>
          <w:szCs w:val="20"/>
        </w:rPr>
      </w:pPr>
      <w:r w:rsidRPr="00A57E9F">
        <w:rPr>
          <w:rFonts w:ascii="Arial" w:hAnsi="Arial" w:cs="Arial"/>
          <w:b/>
          <w:bCs/>
          <w:i/>
          <w:iCs/>
          <w:color w:val="auto"/>
          <w:sz w:val="20"/>
          <w:szCs w:val="20"/>
        </w:rPr>
        <w:t xml:space="preserve">- выставление встречных заявок на продажу Биржевых облигаций в соответствии с регламентом и правилами ФБ ММВБ; </w:t>
      </w:r>
    </w:p>
    <w:p w:rsidR="00A57E9F" w:rsidRPr="00A57E9F" w:rsidRDefault="00A57E9F" w:rsidP="00A57E9F">
      <w:pPr>
        <w:pStyle w:val="Default"/>
        <w:jc w:val="both"/>
        <w:rPr>
          <w:rFonts w:ascii="Arial" w:hAnsi="Arial" w:cs="Arial"/>
          <w:color w:val="auto"/>
          <w:sz w:val="20"/>
          <w:szCs w:val="20"/>
        </w:rPr>
      </w:pPr>
      <w:r w:rsidRPr="00A57E9F">
        <w:rPr>
          <w:rFonts w:ascii="Arial" w:hAnsi="Arial" w:cs="Arial"/>
          <w:b/>
          <w:bCs/>
          <w:i/>
          <w:iCs/>
          <w:color w:val="auto"/>
          <w:sz w:val="20"/>
          <w:szCs w:val="20"/>
        </w:rPr>
        <w:t xml:space="preserve">- перечисление денежных средств, полученных от размещения Биржевых облигаций, на расчетный счет Эмитента в соответствии с условиями заключенного договора; </w:t>
      </w:r>
    </w:p>
    <w:p w:rsidR="00A57E9F" w:rsidRPr="00A57E9F" w:rsidRDefault="00A57E9F" w:rsidP="00A57E9F">
      <w:pPr>
        <w:pStyle w:val="Default"/>
        <w:jc w:val="both"/>
        <w:rPr>
          <w:rFonts w:ascii="Arial" w:hAnsi="Arial" w:cs="Arial"/>
          <w:color w:val="auto"/>
          <w:sz w:val="20"/>
          <w:szCs w:val="20"/>
        </w:rPr>
      </w:pPr>
      <w:r w:rsidRPr="00A57E9F">
        <w:rPr>
          <w:rFonts w:ascii="Arial" w:hAnsi="Arial" w:cs="Arial"/>
          <w:b/>
          <w:bCs/>
          <w:i/>
          <w:iCs/>
          <w:color w:val="auto"/>
          <w:sz w:val="20"/>
          <w:szCs w:val="20"/>
        </w:rPr>
        <w:t xml:space="preserve">- информирование Эмитента о количестве совершенных сделок по продаже Биржевых облигаций первым приобретателям и размере полученных от продажи Биржевых облигаций денежных средств. </w:t>
      </w:r>
    </w:p>
    <w:p w:rsidR="00A57E9F" w:rsidRPr="00A57E9F" w:rsidRDefault="00A57E9F" w:rsidP="00A57E9F">
      <w:pPr>
        <w:pStyle w:val="Default"/>
        <w:jc w:val="both"/>
        <w:rPr>
          <w:color w:val="auto"/>
          <w:sz w:val="20"/>
          <w:szCs w:val="20"/>
        </w:rPr>
      </w:pPr>
    </w:p>
    <w:p w:rsidR="00A57E9F" w:rsidRPr="00A57E9F" w:rsidRDefault="00A57E9F" w:rsidP="00A06BCF">
      <w:pPr>
        <w:pStyle w:val="Default"/>
        <w:ind w:firstLine="567"/>
        <w:jc w:val="both"/>
        <w:rPr>
          <w:color w:val="auto"/>
          <w:sz w:val="20"/>
          <w:szCs w:val="20"/>
        </w:rPr>
      </w:pPr>
      <w:r w:rsidRPr="00A57E9F">
        <w:rPr>
          <w:color w:val="auto"/>
          <w:sz w:val="20"/>
          <w:szCs w:val="20"/>
        </w:rPr>
        <w:t xml:space="preserve">Основные функции Организатора(ов): </w:t>
      </w:r>
    </w:p>
    <w:p w:rsidR="00A57E9F" w:rsidRPr="00A57E9F" w:rsidRDefault="00A57E9F" w:rsidP="00A57E9F">
      <w:pPr>
        <w:pStyle w:val="Default"/>
        <w:jc w:val="both"/>
        <w:rPr>
          <w:rFonts w:ascii="Arial" w:hAnsi="Arial" w:cs="Arial"/>
          <w:color w:val="auto"/>
          <w:sz w:val="20"/>
          <w:szCs w:val="20"/>
        </w:rPr>
      </w:pPr>
      <w:r w:rsidRPr="00A57E9F">
        <w:rPr>
          <w:rFonts w:ascii="Arial" w:hAnsi="Arial" w:cs="Arial"/>
          <w:color w:val="auto"/>
          <w:sz w:val="20"/>
          <w:szCs w:val="20"/>
        </w:rPr>
        <w:t>-</w:t>
      </w:r>
      <w:r w:rsidRPr="00A57E9F">
        <w:rPr>
          <w:rFonts w:ascii="Arial" w:hAnsi="Arial" w:cs="Arial"/>
          <w:b/>
          <w:bCs/>
          <w:i/>
          <w:iCs/>
          <w:color w:val="auto"/>
          <w:sz w:val="20"/>
          <w:szCs w:val="20"/>
        </w:rPr>
        <w:t xml:space="preserve"> общее организационное консультирование Эмитента по вопросам, связанным с организаций выпуска Биржевых облигаций; </w:t>
      </w:r>
    </w:p>
    <w:p w:rsidR="00A57E9F" w:rsidRPr="00A57E9F" w:rsidRDefault="00A57E9F" w:rsidP="00A57E9F">
      <w:pPr>
        <w:pStyle w:val="Default"/>
        <w:jc w:val="both"/>
        <w:rPr>
          <w:rFonts w:ascii="Arial" w:hAnsi="Arial" w:cs="Arial"/>
          <w:color w:val="auto"/>
          <w:sz w:val="20"/>
          <w:szCs w:val="20"/>
        </w:rPr>
      </w:pPr>
      <w:r w:rsidRPr="00A57E9F">
        <w:rPr>
          <w:rFonts w:ascii="Arial" w:hAnsi="Arial" w:cs="Arial"/>
          <w:b/>
          <w:bCs/>
          <w:i/>
          <w:iCs/>
          <w:color w:val="auto"/>
          <w:sz w:val="20"/>
          <w:szCs w:val="20"/>
        </w:rPr>
        <w:t xml:space="preserve">- подготовка и распространение среди потенциальных инвесторов информационных материалов об Эмитенте и/или Биржевых облигациях; </w:t>
      </w:r>
    </w:p>
    <w:p w:rsidR="00A57E9F" w:rsidRPr="00A57E9F" w:rsidRDefault="00A57E9F" w:rsidP="00A57E9F">
      <w:pPr>
        <w:pStyle w:val="Default"/>
        <w:jc w:val="both"/>
        <w:rPr>
          <w:rFonts w:ascii="Arial" w:hAnsi="Arial" w:cs="Arial"/>
          <w:color w:val="auto"/>
          <w:sz w:val="20"/>
          <w:szCs w:val="20"/>
        </w:rPr>
      </w:pPr>
      <w:r w:rsidRPr="00A57E9F">
        <w:rPr>
          <w:rFonts w:ascii="Arial" w:hAnsi="Arial" w:cs="Arial"/>
          <w:b/>
          <w:bCs/>
          <w:i/>
          <w:iCs/>
          <w:color w:val="auto"/>
          <w:sz w:val="20"/>
          <w:szCs w:val="20"/>
        </w:rPr>
        <w:t xml:space="preserve">- организация маркетинговых мероприятий выпуска Биржевых облигаций. </w:t>
      </w:r>
    </w:p>
    <w:p w:rsidR="00A57E9F" w:rsidRPr="00A57E9F" w:rsidRDefault="00A57E9F" w:rsidP="00A57E9F">
      <w:pPr>
        <w:pStyle w:val="Default"/>
        <w:jc w:val="both"/>
        <w:rPr>
          <w:rFonts w:ascii="Arial" w:hAnsi="Arial" w:cs="Arial"/>
          <w:color w:val="auto"/>
          <w:sz w:val="20"/>
          <w:szCs w:val="20"/>
        </w:rPr>
      </w:pPr>
      <w:r w:rsidRPr="00A57E9F">
        <w:rPr>
          <w:rFonts w:ascii="Arial" w:hAnsi="Arial" w:cs="Arial"/>
          <w:b/>
          <w:bCs/>
          <w:i/>
          <w:iCs/>
          <w:color w:val="auto"/>
          <w:sz w:val="20"/>
          <w:szCs w:val="20"/>
        </w:rPr>
        <w:t xml:space="preserve">- предоставление рекомендаций Эмитенту о назначении даты размещения Биржевых облигаций; </w:t>
      </w:r>
    </w:p>
    <w:p w:rsidR="00A57E9F" w:rsidRPr="00A57E9F" w:rsidRDefault="00A57E9F" w:rsidP="00A57E9F">
      <w:pPr>
        <w:pStyle w:val="Default"/>
        <w:jc w:val="both"/>
        <w:rPr>
          <w:rFonts w:ascii="Arial" w:hAnsi="Arial" w:cs="Arial"/>
          <w:color w:val="auto"/>
          <w:sz w:val="20"/>
          <w:szCs w:val="20"/>
        </w:rPr>
      </w:pPr>
      <w:r w:rsidRPr="00A57E9F">
        <w:rPr>
          <w:rFonts w:ascii="Arial" w:hAnsi="Arial" w:cs="Arial"/>
          <w:b/>
          <w:bCs/>
          <w:i/>
          <w:iCs/>
          <w:color w:val="auto"/>
          <w:sz w:val="20"/>
          <w:szCs w:val="20"/>
        </w:rPr>
        <w:t xml:space="preserve">- осуществление всех иных необходимых мероприятий, направленных на успешное размещение Биржевых облигаций.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Андеррайтер и Организатор (Организаторы) не несут ответственности за неисполнение, неполное исполнение или просрочку исполнения Эмитентом принятых на себя обязательств по Биржевым облигациям. Действия владельцев Биржевых облигаций в случае неисполнения Эмитентом обязательств по Биржевым облигациям или просрочки исполнения соответствующих обязательств определены в п. 9.7. Программы биржевых облигаций. </w:t>
      </w:r>
    </w:p>
    <w:p w:rsidR="00A57E9F" w:rsidRPr="00A57E9F" w:rsidRDefault="00A57E9F" w:rsidP="00A57E9F">
      <w:pPr>
        <w:pStyle w:val="Default"/>
        <w:rPr>
          <w:color w:val="auto"/>
          <w:sz w:val="20"/>
          <w:szCs w:val="20"/>
        </w:rPr>
      </w:pPr>
    </w:p>
    <w:p w:rsidR="00A57E9F" w:rsidRPr="00A57E9F" w:rsidRDefault="00A57E9F" w:rsidP="00A06BCF">
      <w:pPr>
        <w:pStyle w:val="Default"/>
        <w:ind w:firstLine="567"/>
        <w:jc w:val="both"/>
        <w:rPr>
          <w:color w:val="auto"/>
          <w:sz w:val="20"/>
          <w:szCs w:val="20"/>
        </w:rPr>
      </w:pPr>
      <w:r w:rsidRPr="00A57E9F">
        <w:rPr>
          <w:color w:val="auto"/>
          <w:sz w:val="20"/>
          <w:szCs w:val="20"/>
        </w:rPr>
        <w:t xml:space="preserve">Наличие у таких лиц обязанностей по приобретению не размещенных в срок ценных бумаг, а при наличии такой обязанности - также количество (порядок определения количества) не размещенных в срок ценных бумаг, которые обязаны приобрести указанные лица, и срок (порядок определения срока), по истечении которого указанные лица обязаны приобрести такое количество ценных бумаг: </w:t>
      </w:r>
    </w:p>
    <w:p w:rsidR="00A57E9F" w:rsidRPr="00A57E9F" w:rsidRDefault="00A57E9F" w:rsidP="00A06BC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Обязанность у Организатора (Организаторов)  и/или Андеррайтера по приобретению не размещенных в срок ценных бумаг отсутствует. </w:t>
      </w:r>
    </w:p>
    <w:p w:rsidR="00A57E9F" w:rsidRPr="00A57E9F" w:rsidRDefault="00A57E9F" w:rsidP="00A06BCF">
      <w:pPr>
        <w:pStyle w:val="Default"/>
        <w:ind w:firstLine="567"/>
        <w:rPr>
          <w:color w:val="auto"/>
          <w:sz w:val="20"/>
          <w:szCs w:val="20"/>
        </w:rPr>
      </w:pPr>
    </w:p>
    <w:p w:rsidR="00A57E9F" w:rsidRPr="00A57E9F" w:rsidRDefault="00A57E9F" w:rsidP="00A06BCF">
      <w:pPr>
        <w:pStyle w:val="Default"/>
        <w:ind w:firstLine="567"/>
        <w:jc w:val="both"/>
        <w:rPr>
          <w:color w:val="auto"/>
          <w:sz w:val="20"/>
          <w:szCs w:val="20"/>
        </w:rPr>
      </w:pPr>
      <w:r w:rsidRPr="00A57E9F">
        <w:rPr>
          <w:color w:val="auto"/>
          <w:sz w:val="20"/>
          <w:szCs w:val="20"/>
        </w:rPr>
        <w:t xml:space="preserve">Наличие у таких лиц обязанностей, связанных с поддержанием цен на размещаемые ценные бумаги на определенном уровне в течение определенного срока после завершения их размещения (стабилизация), в том числе обязанностей, связанных с оказанием услуг маркет-мейкера, а при наличии такой обязанности - также срок (порядок определения срока), в течение которого указанные лица обязаны осуществлять стабилизацию или оказывать услуги маркет-мейкера: </w:t>
      </w:r>
    </w:p>
    <w:p w:rsidR="00A57E9F" w:rsidRPr="00A57E9F" w:rsidRDefault="00A57E9F" w:rsidP="00A06BC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Обязанность, связанная с поддержанием цен на размещаемые Биржевые облигации на определенном уровне в течение определенного срока после завершения их размещения (стабилизация), договором между Эмитентом, Организатором (Организаторами) и/или Андеррайтером не установлена. </w:t>
      </w:r>
    </w:p>
    <w:p w:rsidR="00A57E9F" w:rsidRPr="00A57E9F" w:rsidRDefault="00A57E9F" w:rsidP="00A06BCF">
      <w:pPr>
        <w:pStyle w:val="Default"/>
        <w:ind w:firstLine="567"/>
        <w:jc w:val="both"/>
        <w:rPr>
          <w:color w:val="auto"/>
          <w:sz w:val="20"/>
          <w:szCs w:val="20"/>
        </w:rPr>
      </w:pPr>
    </w:p>
    <w:p w:rsidR="00A57E9F" w:rsidRPr="00A57E9F" w:rsidRDefault="00A57E9F" w:rsidP="00A06BCF">
      <w:pPr>
        <w:pStyle w:val="Default"/>
        <w:ind w:firstLine="567"/>
        <w:jc w:val="both"/>
        <w:rPr>
          <w:color w:val="auto"/>
          <w:sz w:val="20"/>
          <w:szCs w:val="20"/>
        </w:rPr>
      </w:pPr>
      <w:r w:rsidRPr="00A57E9F">
        <w:rPr>
          <w:color w:val="auto"/>
          <w:sz w:val="20"/>
          <w:szCs w:val="20"/>
        </w:rPr>
        <w:t xml:space="preserve">Наличие у таких лиц права на приобретение дополнительного количества ценных бумаг эмитента из числа размещенных (находящихся в обращении) ценных бумаг эмитента того же вида, категории (типа), что и размещаемые ценные бумаги, которое может быть реализовано или не реализовано в зависимости от результатов размещения ценных бумаг, а при наличии такого права - дополнительное количество (порядок определения количества) ценных бумаг, которое может быть приобретено указанным лицом, и срок (порядок определения срока), в течение которого указанными лицами может быть реализовано право на приобретение дополнительного количества ценных бумаг: </w:t>
      </w:r>
    </w:p>
    <w:p w:rsidR="00A57E9F" w:rsidRPr="00A57E9F" w:rsidRDefault="00A57E9F" w:rsidP="00A06BC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Такое право у Организатора (Организаторов) и/или Андеррайтера не предусмотрено. </w:t>
      </w:r>
    </w:p>
    <w:p w:rsidR="00A57E9F" w:rsidRPr="00A57E9F" w:rsidRDefault="00A57E9F" w:rsidP="00A06BCF">
      <w:pPr>
        <w:pStyle w:val="Default"/>
        <w:ind w:firstLine="567"/>
        <w:jc w:val="both"/>
        <w:rPr>
          <w:color w:val="auto"/>
          <w:sz w:val="20"/>
          <w:szCs w:val="20"/>
        </w:rPr>
      </w:pPr>
    </w:p>
    <w:p w:rsidR="00A57E9F" w:rsidRPr="00A57E9F" w:rsidRDefault="00A57E9F" w:rsidP="00A06BCF">
      <w:pPr>
        <w:pStyle w:val="Default"/>
        <w:ind w:firstLine="567"/>
        <w:jc w:val="both"/>
        <w:rPr>
          <w:color w:val="auto"/>
          <w:sz w:val="20"/>
          <w:szCs w:val="20"/>
        </w:rPr>
      </w:pPr>
      <w:r w:rsidRPr="00A57E9F">
        <w:rPr>
          <w:color w:val="auto"/>
          <w:sz w:val="20"/>
          <w:szCs w:val="20"/>
        </w:rPr>
        <w:t xml:space="preserve">Размер вознаграждения лиц, оказывающих услуги по размещению и/или организации размещения ценных бумаг: </w:t>
      </w:r>
    </w:p>
    <w:p w:rsidR="00A57E9F" w:rsidRPr="00A57E9F" w:rsidRDefault="00A57E9F" w:rsidP="00A06BCF">
      <w:pPr>
        <w:pStyle w:val="Default"/>
        <w:ind w:firstLine="567"/>
        <w:jc w:val="both"/>
        <w:rPr>
          <w:rFonts w:ascii="Arial" w:hAnsi="Arial" w:cs="Arial"/>
          <w:color w:val="auto"/>
          <w:sz w:val="20"/>
          <w:szCs w:val="20"/>
          <w:u w:val="single"/>
        </w:rPr>
      </w:pPr>
      <w:r w:rsidRPr="00A57E9F">
        <w:rPr>
          <w:rFonts w:ascii="Arial" w:hAnsi="Arial" w:cs="Arial"/>
          <w:b/>
          <w:bCs/>
          <w:i/>
          <w:iCs/>
          <w:color w:val="auto"/>
          <w:sz w:val="20"/>
          <w:szCs w:val="20"/>
          <w:u w:val="single"/>
        </w:rPr>
        <w:t xml:space="preserve">Сведения о вознаграждении Организатора (Организаторов)  и/или Андеррайтера за оказание услуг по размещению и/или организации размещения ценных бумаг будут указаны в п. 8.3 соответствующих Условий выпуска. </w:t>
      </w:r>
    </w:p>
    <w:p w:rsidR="00A57E9F" w:rsidRDefault="00A57E9F" w:rsidP="00A06BCF">
      <w:pPr>
        <w:pStyle w:val="Default"/>
        <w:ind w:firstLine="567"/>
        <w:jc w:val="both"/>
        <w:rPr>
          <w:color w:val="auto"/>
          <w:sz w:val="22"/>
          <w:szCs w:val="22"/>
        </w:rPr>
      </w:pPr>
    </w:p>
    <w:p w:rsidR="00A57E9F" w:rsidRPr="00A57E9F" w:rsidRDefault="00A57E9F" w:rsidP="00A06BCF">
      <w:pPr>
        <w:pStyle w:val="Default"/>
        <w:ind w:firstLine="567"/>
        <w:jc w:val="both"/>
        <w:rPr>
          <w:color w:val="auto"/>
          <w:sz w:val="20"/>
          <w:szCs w:val="20"/>
        </w:rPr>
      </w:pPr>
      <w:r w:rsidRPr="00A57E9F">
        <w:rPr>
          <w:color w:val="auto"/>
          <w:sz w:val="20"/>
          <w:szCs w:val="20"/>
        </w:rPr>
        <w:t xml:space="preserve">В случае, если размещение ценных бумаг предполагается осуществлять за пределами Российской Федерации, в том числе посредством размещения соответствующих иностранных ценных бумаг, указывается на это обстоятельство. </w:t>
      </w:r>
    </w:p>
    <w:p w:rsidR="00A57E9F" w:rsidRPr="00A57E9F" w:rsidRDefault="00A57E9F" w:rsidP="00A06BC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Не предполагается. </w:t>
      </w:r>
    </w:p>
    <w:p w:rsidR="00A57E9F" w:rsidRPr="00A57E9F" w:rsidRDefault="00A57E9F" w:rsidP="00A06BCF">
      <w:pPr>
        <w:pStyle w:val="Default"/>
        <w:ind w:firstLine="567"/>
        <w:jc w:val="both"/>
        <w:rPr>
          <w:color w:val="auto"/>
          <w:sz w:val="20"/>
          <w:szCs w:val="20"/>
        </w:rPr>
      </w:pPr>
      <w:r w:rsidRPr="00A57E9F">
        <w:rPr>
          <w:color w:val="auto"/>
          <w:sz w:val="20"/>
          <w:szCs w:val="20"/>
        </w:rPr>
        <w:t xml:space="preserve">В случае, если одновременно с размещением ценных бумаг планируется предложить к приобретению, в том числе за пределами Российской Федерации посредством размещения соответствующих иностранных ценных бумаг, ранее размещенные (находящиеся в обращении) ценные бумаги эмитента того же вида, категории (типа), дополнительно указываются: </w:t>
      </w:r>
    </w:p>
    <w:p w:rsidR="00A57E9F" w:rsidRPr="00A57E9F" w:rsidRDefault="00A57E9F" w:rsidP="00A06BCF">
      <w:pPr>
        <w:pStyle w:val="Default"/>
        <w:ind w:firstLine="567"/>
        <w:jc w:val="both"/>
        <w:rPr>
          <w:rFonts w:ascii="Arial" w:hAnsi="Arial" w:cs="Arial"/>
          <w:b/>
          <w:bCs/>
          <w:i/>
          <w:iCs/>
          <w:color w:val="auto"/>
          <w:sz w:val="20"/>
          <w:szCs w:val="20"/>
        </w:rPr>
      </w:pPr>
      <w:r w:rsidRPr="00A57E9F">
        <w:rPr>
          <w:rFonts w:ascii="Arial" w:hAnsi="Arial" w:cs="Arial"/>
          <w:b/>
          <w:bCs/>
          <w:i/>
          <w:iCs/>
          <w:color w:val="auto"/>
          <w:sz w:val="20"/>
          <w:szCs w:val="20"/>
        </w:rPr>
        <w:t xml:space="preserve">Не планируется. </w:t>
      </w:r>
    </w:p>
    <w:p w:rsidR="00A57E9F" w:rsidRPr="00A57E9F" w:rsidRDefault="00A57E9F" w:rsidP="00A06BCF">
      <w:pPr>
        <w:pStyle w:val="Default"/>
        <w:ind w:firstLine="567"/>
        <w:jc w:val="both"/>
        <w:rPr>
          <w:color w:val="auto"/>
          <w:sz w:val="20"/>
          <w:szCs w:val="20"/>
        </w:rPr>
      </w:pPr>
      <w:r w:rsidRPr="00A57E9F">
        <w:rPr>
          <w:color w:val="auto"/>
          <w:sz w:val="20"/>
          <w:szCs w:val="20"/>
        </w:rPr>
        <w:t xml:space="preserve">В случае, если эмитент в соответствии с Федеральным законом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является хозяйственным обществом, имеющим стратегическое значение для обеспечения обороны страны и безопасности государства, указывается на это обстоятельство. </w:t>
      </w:r>
    </w:p>
    <w:p w:rsidR="00A57E9F" w:rsidRPr="00A57E9F" w:rsidRDefault="00A57E9F" w:rsidP="00A06BC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Эмитент не является хозяйственным обществом, имеющим стратегическое значение для обеспечения обороны страны и безопасности государства </w:t>
      </w:r>
    </w:p>
    <w:p w:rsidR="00A57E9F" w:rsidRDefault="00A57E9F" w:rsidP="00A06BCF">
      <w:pPr>
        <w:pStyle w:val="Default"/>
        <w:ind w:firstLine="567"/>
        <w:jc w:val="both"/>
        <w:rPr>
          <w:color w:val="auto"/>
          <w:sz w:val="22"/>
          <w:szCs w:val="22"/>
        </w:rPr>
      </w:pPr>
    </w:p>
    <w:p w:rsidR="00A57E9F" w:rsidRPr="00A57E9F" w:rsidRDefault="00A57E9F" w:rsidP="00A06BCF">
      <w:pPr>
        <w:pStyle w:val="Default"/>
        <w:ind w:firstLine="567"/>
        <w:jc w:val="both"/>
        <w:rPr>
          <w:rFonts w:ascii="Arial" w:hAnsi="Arial" w:cs="Arial"/>
          <w:color w:val="auto"/>
          <w:sz w:val="20"/>
          <w:szCs w:val="20"/>
        </w:rPr>
      </w:pPr>
      <w:r w:rsidRPr="00A57E9F">
        <w:rPr>
          <w:color w:val="auto"/>
          <w:sz w:val="20"/>
          <w:szCs w:val="20"/>
        </w:rPr>
        <w:t xml:space="preserve">В случае, если заключение договоров, направленных на отчуждение ценных бумаг эмитента, являющегося хозяйственным обществом, имеющим стратегическое значение для обеспечения обороны страны и безопасности государства, первым владельцам в ходе их размещения может потребовать принятия решения о предварительном согласовании указанных договоров в соответствии с Федеральным законом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указывается на это обстоятельство: </w:t>
      </w:r>
      <w:r w:rsidRPr="00A57E9F">
        <w:rPr>
          <w:rFonts w:ascii="Arial" w:hAnsi="Arial" w:cs="Arial"/>
          <w:b/>
          <w:bCs/>
          <w:i/>
          <w:iCs/>
          <w:color w:val="auto"/>
          <w:sz w:val="20"/>
          <w:szCs w:val="20"/>
        </w:rPr>
        <w:t xml:space="preserve">такое предварительное согласование не требуется. </w:t>
      </w:r>
    </w:p>
    <w:p w:rsidR="00886DC8" w:rsidRPr="00886DC8" w:rsidRDefault="00886DC8" w:rsidP="00886DC8">
      <w:pPr>
        <w:widowControl/>
        <w:spacing w:before="0" w:after="0"/>
        <w:jc w:val="both"/>
        <w:rPr>
          <w:rFonts w:eastAsiaTheme="minorHAnsi"/>
          <w:lang w:eastAsia="en-US"/>
        </w:rPr>
      </w:pPr>
    </w:p>
    <w:p w:rsidR="00886DC8" w:rsidRPr="003F1D31" w:rsidRDefault="00886DC8" w:rsidP="00886DC8">
      <w:pPr>
        <w:widowControl/>
        <w:spacing w:before="0" w:after="0"/>
        <w:ind w:firstLine="540"/>
        <w:jc w:val="both"/>
        <w:outlineLvl w:val="2"/>
        <w:rPr>
          <w:rFonts w:ascii="Arial" w:eastAsiaTheme="minorHAnsi" w:hAnsi="Arial" w:cs="Arial"/>
          <w:b/>
          <w:sz w:val="26"/>
          <w:szCs w:val="26"/>
          <w:lang w:eastAsia="en-US"/>
        </w:rPr>
      </w:pPr>
      <w:bookmarkStart w:id="111" w:name="_Toc448251206"/>
      <w:r w:rsidRPr="003F1D31">
        <w:rPr>
          <w:rFonts w:ascii="Arial" w:eastAsiaTheme="minorHAnsi" w:hAnsi="Arial" w:cs="Arial"/>
          <w:b/>
          <w:sz w:val="26"/>
          <w:szCs w:val="26"/>
          <w:lang w:eastAsia="en-US"/>
        </w:rPr>
        <w:t>8.8.4. Цена (цены) или порядок определения цены размещения ценных бумаг</w:t>
      </w:r>
      <w:bookmarkEnd w:id="111"/>
    </w:p>
    <w:p w:rsidR="00A06BCF" w:rsidRDefault="00A06BCF" w:rsidP="00886DC8">
      <w:pPr>
        <w:widowControl/>
        <w:spacing w:before="0" w:after="0"/>
        <w:ind w:firstLine="540"/>
        <w:jc w:val="both"/>
        <w:rPr>
          <w:rFonts w:eastAsiaTheme="minorHAnsi"/>
          <w:lang w:eastAsia="en-US"/>
        </w:rPr>
      </w:pPr>
    </w:p>
    <w:p w:rsidR="00886DC8" w:rsidRPr="00886DC8" w:rsidRDefault="00886DC8" w:rsidP="00886DC8">
      <w:pPr>
        <w:widowControl/>
        <w:spacing w:before="0" w:after="0"/>
        <w:ind w:firstLine="540"/>
        <w:jc w:val="both"/>
        <w:rPr>
          <w:rFonts w:eastAsiaTheme="minorHAnsi"/>
          <w:lang w:eastAsia="en-US"/>
        </w:rPr>
      </w:pPr>
      <w:r w:rsidRPr="00886DC8">
        <w:rPr>
          <w:rFonts w:eastAsiaTheme="minorHAnsi"/>
          <w:lang w:eastAsia="en-US"/>
        </w:rPr>
        <w:t>Указывается цена (цены) или порядок определения цены размещения ценных бумаг, в том числе при осуществлении преимущественного права приобретения размещаемых ценных бумаг, если такое преимущественное право предоставляется, либо указание на то, что такие цена или порядок ее определения будут установлены уполномоченным органом управления эмитента не позднее начала размещения ценных бумаг.</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Цена размещения Биржевых облигаций устанавливается равной 100% от номинальной стоимости Биржевых облигаций. </w:t>
      </w:r>
    </w:p>
    <w:p w:rsidR="00A57E9F" w:rsidRPr="00A57E9F" w:rsidRDefault="00A57E9F" w:rsidP="00A57E9F">
      <w:pPr>
        <w:pStyle w:val="Default"/>
        <w:ind w:firstLine="567"/>
        <w:jc w:val="both"/>
        <w:rPr>
          <w:rFonts w:ascii="Arial" w:hAnsi="Arial" w:cs="Arial"/>
          <w:color w:val="auto"/>
          <w:sz w:val="20"/>
          <w:szCs w:val="20"/>
          <w:u w:val="single"/>
        </w:rPr>
      </w:pPr>
      <w:r w:rsidRPr="00A57E9F">
        <w:rPr>
          <w:rFonts w:ascii="Arial" w:hAnsi="Arial" w:cs="Arial"/>
          <w:b/>
          <w:bCs/>
          <w:i/>
          <w:iCs/>
          <w:color w:val="auto"/>
          <w:sz w:val="20"/>
          <w:szCs w:val="20"/>
          <w:u w:val="single"/>
        </w:rPr>
        <w:t xml:space="preserve">Номинальная стоимость каждой Биржевой облигации, размещаемой в рамках Программы биржевых облигаций, будет установлена в соответствующих Условиях выпуска.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Начиная со второго дня размещения Биржевых облигаций, покупатель при приобретении Биржевых облигаций уплачивает также к установленной цене размещения накопленный купонный доход по Биржевым облигациям (далее - НКД), определяемый по формуле: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НКД = Nom * C(1) * (T - T(0))/365/100%, где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НКД - накопленный купонный доход, руб.;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Nom - номинальная стоимость одной Биржевой облигации, руб.;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С(1) - величина процентной ставки купона на первый купонный период в процентах годовых (%);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T – текущая дата размещения Биржевых облигаций;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T(0) - дата начала размещения Биржевых облигаций. </w:t>
      </w:r>
    </w:p>
    <w:p w:rsidR="00A57E9F" w:rsidRPr="00A57E9F" w:rsidRDefault="00A57E9F" w:rsidP="00A57E9F">
      <w:pPr>
        <w:pStyle w:val="Default"/>
        <w:ind w:firstLine="567"/>
        <w:jc w:val="both"/>
        <w:rPr>
          <w:rFonts w:ascii="Arial" w:hAnsi="Arial" w:cs="Arial"/>
          <w:color w:val="auto"/>
          <w:sz w:val="20"/>
          <w:szCs w:val="20"/>
        </w:rPr>
      </w:pPr>
      <w:r w:rsidRPr="00A57E9F">
        <w:rPr>
          <w:rFonts w:ascii="Arial" w:hAnsi="Arial" w:cs="Arial"/>
          <w:b/>
          <w:bCs/>
          <w:i/>
          <w:iCs/>
          <w:color w:val="auto"/>
          <w:sz w:val="20"/>
          <w:szCs w:val="20"/>
        </w:rPr>
        <w:t xml:space="preserve">Величина НКД в расчете на одну Биржевую облигацию рассчитывается с точностью до одной копейки (округление производится по правилам математического округления до ближайшего целого числа; при этом под правилом математического округления следует понимать метод округления, при котором значение целой копейки (целых копеек) не изменяется, если следующая за округляемой цифра равна от 0 до 4, и изменяется, увеличиваясь на единицу, если следующая за округляемой цифра равна от 5 до 9). </w:t>
      </w:r>
    </w:p>
    <w:p w:rsidR="00DA19F4" w:rsidRPr="00886DC8" w:rsidRDefault="00DA19F4" w:rsidP="00886DC8">
      <w:pPr>
        <w:widowControl/>
        <w:spacing w:before="0" w:after="0"/>
        <w:jc w:val="both"/>
        <w:rPr>
          <w:rFonts w:eastAsiaTheme="minorHAnsi"/>
          <w:lang w:eastAsia="en-US"/>
        </w:rPr>
      </w:pPr>
    </w:p>
    <w:p w:rsidR="00886DC8" w:rsidRPr="003F1D31" w:rsidRDefault="00886DC8" w:rsidP="00886DC8">
      <w:pPr>
        <w:widowControl/>
        <w:spacing w:before="0" w:after="0"/>
        <w:ind w:firstLine="540"/>
        <w:jc w:val="both"/>
        <w:outlineLvl w:val="2"/>
        <w:rPr>
          <w:rFonts w:ascii="Arial" w:eastAsiaTheme="minorHAnsi" w:hAnsi="Arial" w:cs="Arial"/>
          <w:b/>
          <w:sz w:val="26"/>
          <w:szCs w:val="26"/>
          <w:lang w:eastAsia="en-US"/>
        </w:rPr>
      </w:pPr>
      <w:bookmarkStart w:id="112" w:name="_Toc448251207"/>
      <w:r w:rsidRPr="003F1D31">
        <w:rPr>
          <w:rFonts w:ascii="Arial" w:eastAsiaTheme="minorHAnsi" w:hAnsi="Arial" w:cs="Arial"/>
          <w:b/>
          <w:sz w:val="26"/>
          <w:szCs w:val="26"/>
          <w:lang w:eastAsia="en-US"/>
        </w:rPr>
        <w:t>8.8.5. Порядок осуществления преимущественного права приобретения размещаемых ценных бумаг</w:t>
      </w:r>
      <w:bookmarkEnd w:id="112"/>
    </w:p>
    <w:p w:rsidR="00A57E9F" w:rsidRDefault="00A57E9F" w:rsidP="00886DC8">
      <w:pPr>
        <w:widowControl/>
        <w:spacing w:before="0" w:after="0"/>
        <w:ind w:firstLine="540"/>
        <w:jc w:val="both"/>
        <w:rPr>
          <w:rFonts w:eastAsiaTheme="minorHAnsi"/>
          <w:lang w:eastAsia="en-US"/>
        </w:rPr>
      </w:pPr>
    </w:p>
    <w:p w:rsidR="00886DC8" w:rsidRPr="00886DC8" w:rsidRDefault="00886DC8" w:rsidP="00886DC8">
      <w:pPr>
        <w:widowControl/>
        <w:spacing w:before="0" w:after="0"/>
        <w:ind w:firstLine="540"/>
        <w:jc w:val="both"/>
        <w:rPr>
          <w:rFonts w:eastAsiaTheme="minorHAnsi"/>
          <w:lang w:eastAsia="en-US"/>
        </w:rPr>
      </w:pPr>
      <w:r w:rsidRPr="00886DC8">
        <w:rPr>
          <w:rFonts w:eastAsiaTheme="minorHAnsi"/>
          <w:lang w:eastAsia="en-US"/>
        </w:rPr>
        <w:t xml:space="preserve">В случае размещения акционерным обществом дополнительных акций, ценных бумаг, конвертируемых в акции, и опционов эмитента путем подписки, при котором в соответствии со </w:t>
      </w:r>
      <w:hyperlink r:id="rId15" w:history="1">
        <w:r w:rsidRPr="001C33A6">
          <w:rPr>
            <w:rFonts w:eastAsiaTheme="minorHAnsi"/>
            <w:lang w:eastAsia="en-US"/>
          </w:rPr>
          <w:t>статьями 40</w:t>
        </w:r>
      </w:hyperlink>
      <w:r w:rsidRPr="001C33A6">
        <w:rPr>
          <w:rFonts w:eastAsiaTheme="minorHAnsi"/>
          <w:lang w:eastAsia="en-US"/>
        </w:rPr>
        <w:t xml:space="preserve"> и </w:t>
      </w:r>
      <w:hyperlink r:id="rId16" w:history="1">
        <w:r w:rsidRPr="001C33A6">
          <w:rPr>
            <w:rFonts w:eastAsiaTheme="minorHAnsi"/>
            <w:lang w:eastAsia="en-US"/>
          </w:rPr>
          <w:t>41</w:t>
        </w:r>
      </w:hyperlink>
      <w:r w:rsidRPr="001C33A6">
        <w:rPr>
          <w:rFonts w:eastAsiaTheme="minorHAnsi"/>
          <w:lang w:eastAsia="en-US"/>
        </w:rPr>
        <w:t xml:space="preserve"> Федерального закона "Об акционерных обществах" возникает преимущественное</w:t>
      </w:r>
      <w:r w:rsidRPr="00886DC8">
        <w:rPr>
          <w:rFonts w:eastAsiaTheme="minorHAnsi"/>
          <w:lang w:eastAsia="en-US"/>
        </w:rPr>
        <w:t xml:space="preserve"> право их приобретения, указываются:</w:t>
      </w:r>
    </w:p>
    <w:p w:rsidR="00483680" w:rsidRDefault="00483680" w:rsidP="00483680">
      <w:pPr>
        <w:pStyle w:val="Default"/>
        <w:jc w:val="both"/>
        <w:rPr>
          <w:rFonts w:ascii="Arial" w:hAnsi="Arial" w:cs="Arial"/>
          <w:b/>
          <w:bCs/>
          <w:i/>
          <w:iCs/>
          <w:color w:val="auto"/>
          <w:sz w:val="20"/>
          <w:szCs w:val="20"/>
        </w:rPr>
      </w:pPr>
    </w:p>
    <w:p w:rsidR="00483680" w:rsidRPr="00DA19F4" w:rsidRDefault="00483680" w:rsidP="001D210C">
      <w:pPr>
        <w:pStyle w:val="Default"/>
        <w:ind w:firstLine="567"/>
        <w:jc w:val="both"/>
        <w:rPr>
          <w:rFonts w:ascii="Arial" w:hAnsi="Arial" w:cs="Arial"/>
          <w:b/>
          <w:bCs/>
          <w:i/>
          <w:iCs/>
          <w:color w:val="auto"/>
          <w:sz w:val="20"/>
          <w:szCs w:val="20"/>
        </w:rPr>
      </w:pPr>
      <w:r w:rsidRPr="00DA19F4">
        <w:rPr>
          <w:rFonts w:ascii="Arial" w:hAnsi="Arial" w:cs="Arial"/>
          <w:b/>
          <w:bCs/>
          <w:i/>
          <w:iCs/>
          <w:color w:val="auto"/>
          <w:sz w:val="20"/>
          <w:szCs w:val="20"/>
        </w:rPr>
        <w:t xml:space="preserve">Преимущественное право приобретения размещаемых ценных бумаг не предусмотрено. </w:t>
      </w:r>
    </w:p>
    <w:p w:rsidR="00886DC8" w:rsidRPr="00886DC8" w:rsidRDefault="00886DC8" w:rsidP="00886DC8">
      <w:pPr>
        <w:widowControl/>
        <w:spacing w:before="0" w:after="0"/>
        <w:jc w:val="both"/>
        <w:rPr>
          <w:rFonts w:eastAsiaTheme="minorHAnsi"/>
          <w:lang w:eastAsia="en-US"/>
        </w:rPr>
      </w:pPr>
    </w:p>
    <w:p w:rsidR="00886DC8" w:rsidRPr="003F1D31" w:rsidRDefault="00886DC8" w:rsidP="00886DC8">
      <w:pPr>
        <w:widowControl/>
        <w:spacing w:before="0" w:after="0"/>
        <w:ind w:firstLine="540"/>
        <w:jc w:val="both"/>
        <w:outlineLvl w:val="2"/>
        <w:rPr>
          <w:rFonts w:ascii="Arial" w:eastAsiaTheme="minorHAnsi" w:hAnsi="Arial" w:cs="Arial"/>
          <w:b/>
          <w:sz w:val="26"/>
          <w:szCs w:val="26"/>
          <w:lang w:eastAsia="en-US"/>
        </w:rPr>
      </w:pPr>
      <w:bookmarkStart w:id="113" w:name="_Toc448251208"/>
      <w:r w:rsidRPr="003F1D31">
        <w:rPr>
          <w:rFonts w:ascii="Arial" w:eastAsiaTheme="minorHAnsi" w:hAnsi="Arial" w:cs="Arial"/>
          <w:b/>
          <w:sz w:val="26"/>
          <w:szCs w:val="26"/>
          <w:lang w:eastAsia="en-US"/>
        </w:rPr>
        <w:t>8.8.6. Условия и порядок оплаты ценных бумаг</w:t>
      </w:r>
      <w:bookmarkEnd w:id="113"/>
    </w:p>
    <w:p w:rsidR="003B096A" w:rsidRDefault="003B096A" w:rsidP="00886DC8">
      <w:pPr>
        <w:widowControl/>
        <w:spacing w:before="0" w:after="0"/>
        <w:ind w:firstLine="540"/>
        <w:jc w:val="both"/>
        <w:rPr>
          <w:rFonts w:eastAsiaTheme="minorHAnsi"/>
          <w:lang w:eastAsia="en-US"/>
        </w:rPr>
      </w:pPr>
    </w:p>
    <w:p w:rsidR="00886DC8" w:rsidRDefault="00886DC8" w:rsidP="00886DC8">
      <w:pPr>
        <w:widowControl/>
        <w:spacing w:before="0" w:after="0"/>
        <w:ind w:firstLine="540"/>
        <w:jc w:val="both"/>
        <w:rPr>
          <w:rFonts w:eastAsiaTheme="minorHAnsi"/>
          <w:lang w:eastAsia="en-US"/>
        </w:rPr>
      </w:pPr>
      <w:r w:rsidRPr="00886DC8">
        <w:rPr>
          <w:rFonts w:eastAsiaTheme="minorHAnsi"/>
          <w:lang w:eastAsia="en-US"/>
        </w:rPr>
        <w:t>В случае размещения ценных бумаг путем подписки, а также в иных случаях, когда предусматривается оплата размещаемых ценных бумаг, указываются условия, порядок и срок оплаты ценных бумаг, в том числе форма расчетов, полное и сокращенное фирменные наименования кредитных организаций, их место нахождения, банковские реквизиты счетов, на которые должны перечисляться денежные средства, поступающие в оплату ценных бумаг, адреса пунктов оплаты (в случае наличной формы оплаты за ценные бумаги).</w:t>
      </w:r>
    </w:p>
    <w:p w:rsidR="00237856" w:rsidRPr="00237856" w:rsidRDefault="00237856" w:rsidP="00237856">
      <w:pPr>
        <w:pStyle w:val="Default"/>
        <w:ind w:firstLine="567"/>
        <w:jc w:val="both"/>
        <w:rPr>
          <w:rFonts w:ascii="Arial" w:hAnsi="Arial" w:cs="Arial"/>
          <w:color w:val="auto"/>
          <w:sz w:val="20"/>
          <w:szCs w:val="20"/>
        </w:rPr>
      </w:pPr>
      <w:r w:rsidRPr="00237856">
        <w:rPr>
          <w:rFonts w:ascii="Arial" w:hAnsi="Arial" w:cs="Arial"/>
          <w:b/>
          <w:bCs/>
          <w:i/>
          <w:iCs/>
          <w:color w:val="auto"/>
          <w:sz w:val="20"/>
          <w:szCs w:val="20"/>
        </w:rPr>
        <w:t xml:space="preserve">Биржевые облигации оплачиваются в денежной форме в валюте Российской Федерации в безналичном порядке. Биржевые облигации размещаются при условии их полной оплаты. Возможность рассрочки при оплате Биржевых облигаций не предусмотрена. </w:t>
      </w:r>
    </w:p>
    <w:p w:rsidR="00237856" w:rsidRPr="00237856" w:rsidRDefault="00237856" w:rsidP="00237856">
      <w:pPr>
        <w:pStyle w:val="Default"/>
        <w:ind w:firstLine="567"/>
        <w:jc w:val="both"/>
        <w:rPr>
          <w:rFonts w:ascii="Arial" w:hAnsi="Arial" w:cs="Arial"/>
          <w:color w:val="auto"/>
          <w:sz w:val="20"/>
          <w:szCs w:val="20"/>
        </w:rPr>
      </w:pPr>
      <w:r w:rsidRPr="00237856">
        <w:rPr>
          <w:rFonts w:ascii="Arial" w:hAnsi="Arial" w:cs="Arial"/>
          <w:b/>
          <w:bCs/>
          <w:i/>
          <w:iCs/>
          <w:color w:val="auto"/>
          <w:sz w:val="20"/>
          <w:szCs w:val="20"/>
        </w:rPr>
        <w:t xml:space="preserve">Оплата Биржевых облигаций неденежными средствами (ценными бумагами, вещами или имущественными правами либо иными правами, имеющими денежную оценку) не предусмотрена. </w:t>
      </w:r>
    </w:p>
    <w:p w:rsidR="00237856" w:rsidRPr="00237856" w:rsidRDefault="00237856" w:rsidP="00237856">
      <w:pPr>
        <w:pStyle w:val="Default"/>
        <w:ind w:firstLine="567"/>
        <w:jc w:val="both"/>
        <w:rPr>
          <w:rFonts w:ascii="Arial" w:hAnsi="Arial" w:cs="Arial"/>
          <w:color w:val="auto"/>
          <w:sz w:val="20"/>
          <w:szCs w:val="20"/>
        </w:rPr>
      </w:pPr>
      <w:r w:rsidRPr="00237856">
        <w:rPr>
          <w:rFonts w:ascii="Arial" w:hAnsi="Arial" w:cs="Arial"/>
          <w:b/>
          <w:bCs/>
          <w:i/>
          <w:iCs/>
          <w:color w:val="auto"/>
          <w:sz w:val="20"/>
          <w:szCs w:val="20"/>
        </w:rPr>
        <w:t xml:space="preserve">Денежные расчеты по сделкам купли-продажи Биржевых облигаций при их размещении осуществляются на условиях «поставка против платежа» через НРД в соответствии с правилами осуществления клиринговой деятельности Клиринговой организации. Денежные расчеты при размещении Биржевых облигаций по заключенным сделкам купли-продажи Биржевых облигаций осуществляются в день заключения соответствующих сделок. При этом денежные средства должны быть зарезервированы на торговых счетах Участников торгов в НРД в сумме, достаточной для полной оплаты Биржевых облигаций, указанных в заявках на приобретение Биржевых облигаций, с учётом всех необходимых комиссионных сборов, а, начиная со второго дня размещения, также с учетом НКД. </w:t>
      </w:r>
    </w:p>
    <w:p w:rsidR="00237856" w:rsidRPr="00237856" w:rsidRDefault="00237856" w:rsidP="00237856">
      <w:pPr>
        <w:pStyle w:val="Default"/>
        <w:ind w:firstLine="567"/>
        <w:jc w:val="both"/>
        <w:rPr>
          <w:rFonts w:ascii="Arial" w:hAnsi="Arial" w:cs="Arial"/>
          <w:color w:val="auto"/>
          <w:sz w:val="20"/>
          <w:szCs w:val="20"/>
        </w:rPr>
      </w:pPr>
      <w:r w:rsidRPr="00237856">
        <w:rPr>
          <w:rFonts w:ascii="Arial" w:hAnsi="Arial" w:cs="Arial"/>
          <w:b/>
          <w:bCs/>
          <w:i/>
          <w:iCs/>
          <w:color w:val="auto"/>
          <w:sz w:val="20"/>
          <w:szCs w:val="20"/>
        </w:rPr>
        <w:t xml:space="preserve">Денежные расчеты при размещении Биржевых облигаций по заключенным сделкам купли-продажи Биржевых облигаций осуществляются в день заключения соответствующих сделок. </w:t>
      </w:r>
    </w:p>
    <w:p w:rsidR="00237856" w:rsidRPr="00237856" w:rsidRDefault="00237856" w:rsidP="00237856">
      <w:pPr>
        <w:pStyle w:val="Default"/>
        <w:ind w:firstLine="567"/>
        <w:jc w:val="both"/>
        <w:rPr>
          <w:rFonts w:ascii="Arial" w:hAnsi="Arial" w:cs="Arial"/>
          <w:color w:val="auto"/>
          <w:sz w:val="20"/>
          <w:szCs w:val="20"/>
        </w:rPr>
      </w:pPr>
      <w:r w:rsidRPr="00237856">
        <w:rPr>
          <w:rFonts w:ascii="Arial" w:hAnsi="Arial" w:cs="Arial"/>
          <w:b/>
          <w:bCs/>
          <w:i/>
          <w:iCs/>
          <w:color w:val="auto"/>
          <w:sz w:val="20"/>
          <w:szCs w:val="20"/>
        </w:rPr>
        <w:t xml:space="preserve">Расчеты по Биржевым облигациям при их размещении производятся в соответствии с Правилами Клиринговой организации. Денежные средства, полученные от размещения Биржевых облигаций на Бирже, зачисляются в НРД на счет Андеррайтера. </w:t>
      </w:r>
    </w:p>
    <w:p w:rsidR="00237856" w:rsidRPr="00237856" w:rsidRDefault="00237856" w:rsidP="00237856">
      <w:pPr>
        <w:pStyle w:val="Default"/>
        <w:rPr>
          <w:rFonts w:ascii="Arial" w:hAnsi="Arial" w:cs="Arial"/>
          <w:color w:val="auto"/>
          <w:sz w:val="20"/>
          <w:szCs w:val="20"/>
        </w:rPr>
      </w:pPr>
    </w:p>
    <w:p w:rsidR="00237856" w:rsidRPr="00237856" w:rsidRDefault="00237856" w:rsidP="00237856">
      <w:pPr>
        <w:pStyle w:val="Default"/>
        <w:jc w:val="both"/>
        <w:rPr>
          <w:color w:val="auto"/>
          <w:sz w:val="20"/>
          <w:szCs w:val="20"/>
        </w:rPr>
      </w:pPr>
      <w:r w:rsidRPr="00237856">
        <w:rPr>
          <w:color w:val="auto"/>
          <w:sz w:val="20"/>
          <w:szCs w:val="20"/>
        </w:rPr>
        <w:t>Сведения о кредитной организации:</w:t>
      </w:r>
    </w:p>
    <w:p w:rsidR="00237856" w:rsidRPr="00237856" w:rsidRDefault="00237856" w:rsidP="00237856">
      <w:pPr>
        <w:pStyle w:val="Default"/>
        <w:jc w:val="both"/>
        <w:rPr>
          <w:rFonts w:ascii="Arial" w:hAnsi="Arial" w:cs="Arial"/>
          <w:color w:val="auto"/>
          <w:sz w:val="20"/>
          <w:szCs w:val="20"/>
        </w:rPr>
      </w:pPr>
      <w:r w:rsidRPr="00237856">
        <w:rPr>
          <w:color w:val="auto"/>
          <w:sz w:val="20"/>
          <w:szCs w:val="20"/>
        </w:rPr>
        <w:t>Полное фирменное наименование:</w:t>
      </w:r>
      <w:r w:rsidRPr="00237856">
        <w:rPr>
          <w:rFonts w:ascii="Arial" w:hAnsi="Arial" w:cs="Arial"/>
          <w:color w:val="auto"/>
          <w:sz w:val="20"/>
          <w:szCs w:val="20"/>
        </w:rPr>
        <w:t xml:space="preserve"> </w:t>
      </w:r>
      <w:r w:rsidRPr="00237856">
        <w:rPr>
          <w:rFonts w:ascii="Arial" w:hAnsi="Arial" w:cs="Arial"/>
          <w:b/>
          <w:bCs/>
          <w:i/>
          <w:iCs/>
          <w:color w:val="auto"/>
          <w:sz w:val="20"/>
          <w:szCs w:val="20"/>
        </w:rPr>
        <w:t xml:space="preserve">Небанковская кредитная организация закрытое акционерное общество «Национальный расчетный депозитарий» </w:t>
      </w:r>
    </w:p>
    <w:p w:rsidR="00237856" w:rsidRPr="00237856" w:rsidRDefault="00237856" w:rsidP="00237856">
      <w:pPr>
        <w:pStyle w:val="Default"/>
        <w:jc w:val="both"/>
        <w:rPr>
          <w:rFonts w:ascii="Arial" w:hAnsi="Arial" w:cs="Arial"/>
          <w:color w:val="auto"/>
          <w:sz w:val="20"/>
          <w:szCs w:val="20"/>
        </w:rPr>
      </w:pPr>
      <w:r w:rsidRPr="00237856">
        <w:rPr>
          <w:color w:val="auto"/>
          <w:sz w:val="20"/>
          <w:szCs w:val="20"/>
        </w:rPr>
        <w:t>Сокращенное фирменное наименование:</w:t>
      </w:r>
      <w:r w:rsidRPr="00237856">
        <w:rPr>
          <w:rFonts w:ascii="Arial" w:hAnsi="Arial" w:cs="Arial"/>
          <w:color w:val="auto"/>
          <w:sz w:val="20"/>
          <w:szCs w:val="20"/>
        </w:rPr>
        <w:t xml:space="preserve"> </w:t>
      </w:r>
      <w:r w:rsidRPr="00237856">
        <w:rPr>
          <w:rFonts w:ascii="Arial" w:hAnsi="Arial" w:cs="Arial"/>
          <w:b/>
          <w:bCs/>
          <w:i/>
          <w:iCs/>
          <w:color w:val="auto"/>
          <w:sz w:val="20"/>
          <w:szCs w:val="20"/>
        </w:rPr>
        <w:t xml:space="preserve">НКО ЗАО НРД </w:t>
      </w:r>
    </w:p>
    <w:p w:rsidR="00237856" w:rsidRPr="00237856" w:rsidRDefault="00237856" w:rsidP="00237856">
      <w:pPr>
        <w:pStyle w:val="Default"/>
        <w:jc w:val="both"/>
        <w:rPr>
          <w:rFonts w:ascii="Arial" w:hAnsi="Arial" w:cs="Arial"/>
          <w:color w:val="auto"/>
          <w:sz w:val="20"/>
          <w:szCs w:val="20"/>
        </w:rPr>
      </w:pPr>
      <w:r w:rsidRPr="00237856">
        <w:rPr>
          <w:color w:val="auto"/>
          <w:sz w:val="20"/>
          <w:szCs w:val="20"/>
        </w:rPr>
        <w:t>Место нахождения:</w:t>
      </w:r>
      <w:r w:rsidRPr="00237856">
        <w:rPr>
          <w:rFonts w:ascii="Arial" w:hAnsi="Arial" w:cs="Arial"/>
          <w:color w:val="auto"/>
          <w:sz w:val="20"/>
          <w:szCs w:val="20"/>
        </w:rPr>
        <w:t xml:space="preserve"> </w:t>
      </w:r>
      <w:r w:rsidRPr="00237856">
        <w:rPr>
          <w:rFonts w:ascii="Arial" w:hAnsi="Arial" w:cs="Arial"/>
          <w:b/>
          <w:bCs/>
          <w:i/>
          <w:iCs/>
          <w:color w:val="auto"/>
          <w:sz w:val="20"/>
          <w:szCs w:val="20"/>
        </w:rPr>
        <w:t xml:space="preserve">город Москва, улица Спартаковская, дом 12 </w:t>
      </w:r>
    </w:p>
    <w:p w:rsidR="00237856" w:rsidRPr="00237856" w:rsidRDefault="00237856" w:rsidP="00237856">
      <w:pPr>
        <w:pStyle w:val="Default"/>
        <w:jc w:val="both"/>
        <w:rPr>
          <w:rFonts w:ascii="Arial" w:hAnsi="Arial" w:cs="Arial"/>
          <w:color w:val="auto"/>
          <w:sz w:val="20"/>
          <w:szCs w:val="20"/>
        </w:rPr>
      </w:pPr>
      <w:r w:rsidRPr="00237856">
        <w:rPr>
          <w:color w:val="auto"/>
          <w:sz w:val="20"/>
          <w:szCs w:val="20"/>
        </w:rPr>
        <w:t>Почтовый адрес:</w:t>
      </w:r>
      <w:r w:rsidRPr="00237856">
        <w:rPr>
          <w:rFonts w:ascii="Arial" w:hAnsi="Arial" w:cs="Arial"/>
          <w:color w:val="auto"/>
          <w:sz w:val="20"/>
          <w:szCs w:val="20"/>
        </w:rPr>
        <w:t xml:space="preserve"> </w:t>
      </w:r>
      <w:r w:rsidRPr="00237856">
        <w:rPr>
          <w:rFonts w:ascii="Arial" w:hAnsi="Arial" w:cs="Arial"/>
          <w:b/>
          <w:bCs/>
          <w:i/>
          <w:iCs/>
          <w:color w:val="auto"/>
          <w:sz w:val="20"/>
          <w:szCs w:val="20"/>
        </w:rPr>
        <w:t xml:space="preserve">105066, г. Москва, ул. Спартаковская, дом 12 </w:t>
      </w:r>
    </w:p>
    <w:p w:rsidR="00237856" w:rsidRPr="00237856" w:rsidRDefault="00237856" w:rsidP="00237856">
      <w:pPr>
        <w:pStyle w:val="Default"/>
        <w:jc w:val="both"/>
        <w:rPr>
          <w:rFonts w:ascii="Arial" w:hAnsi="Arial" w:cs="Arial"/>
          <w:color w:val="auto"/>
          <w:sz w:val="20"/>
          <w:szCs w:val="20"/>
        </w:rPr>
      </w:pPr>
      <w:r w:rsidRPr="00237856">
        <w:rPr>
          <w:color w:val="auto"/>
          <w:sz w:val="20"/>
          <w:szCs w:val="20"/>
        </w:rPr>
        <w:t>Номер лицензии на право осуществления банковских операций:</w:t>
      </w:r>
      <w:r w:rsidRPr="00237856">
        <w:rPr>
          <w:rFonts w:ascii="Arial" w:hAnsi="Arial" w:cs="Arial"/>
          <w:color w:val="auto"/>
          <w:sz w:val="20"/>
          <w:szCs w:val="20"/>
        </w:rPr>
        <w:t xml:space="preserve"> </w:t>
      </w:r>
      <w:r w:rsidRPr="00237856">
        <w:rPr>
          <w:rFonts w:ascii="Arial" w:hAnsi="Arial" w:cs="Arial"/>
          <w:b/>
          <w:bCs/>
          <w:i/>
          <w:iCs/>
          <w:color w:val="auto"/>
          <w:sz w:val="20"/>
          <w:szCs w:val="20"/>
        </w:rPr>
        <w:t xml:space="preserve">№ 3294 </w:t>
      </w:r>
    </w:p>
    <w:p w:rsidR="00237856" w:rsidRPr="00237856" w:rsidRDefault="00237856" w:rsidP="00237856">
      <w:pPr>
        <w:pStyle w:val="Default"/>
        <w:jc w:val="both"/>
        <w:rPr>
          <w:rFonts w:ascii="Arial" w:hAnsi="Arial" w:cs="Arial"/>
          <w:color w:val="auto"/>
          <w:sz w:val="20"/>
          <w:szCs w:val="20"/>
        </w:rPr>
      </w:pPr>
      <w:r w:rsidRPr="00237856">
        <w:rPr>
          <w:color w:val="auto"/>
          <w:sz w:val="20"/>
          <w:szCs w:val="20"/>
        </w:rPr>
        <w:t>Срок действия:</w:t>
      </w:r>
      <w:r w:rsidRPr="00237856">
        <w:rPr>
          <w:rFonts w:ascii="Arial" w:hAnsi="Arial" w:cs="Arial"/>
          <w:color w:val="auto"/>
          <w:sz w:val="20"/>
          <w:szCs w:val="20"/>
        </w:rPr>
        <w:t xml:space="preserve"> </w:t>
      </w:r>
      <w:r w:rsidRPr="00237856">
        <w:rPr>
          <w:rFonts w:ascii="Arial" w:hAnsi="Arial" w:cs="Arial"/>
          <w:b/>
          <w:bCs/>
          <w:i/>
          <w:iCs/>
          <w:color w:val="auto"/>
          <w:sz w:val="20"/>
          <w:szCs w:val="20"/>
        </w:rPr>
        <w:t xml:space="preserve">без ограничения срока действия </w:t>
      </w:r>
    </w:p>
    <w:p w:rsidR="00237856" w:rsidRPr="00237856" w:rsidRDefault="00237856" w:rsidP="00237856">
      <w:pPr>
        <w:pStyle w:val="Default"/>
        <w:jc w:val="both"/>
        <w:rPr>
          <w:rFonts w:ascii="Arial" w:hAnsi="Arial" w:cs="Arial"/>
          <w:color w:val="auto"/>
          <w:sz w:val="20"/>
          <w:szCs w:val="20"/>
        </w:rPr>
      </w:pPr>
      <w:r w:rsidRPr="00237856">
        <w:rPr>
          <w:color w:val="auto"/>
          <w:sz w:val="20"/>
          <w:szCs w:val="20"/>
        </w:rPr>
        <w:t>Дата выдачи:</w:t>
      </w:r>
      <w:r w:rsidRPr="00237856">
        <w:rPr>
          <w:rFonts w:ascii="Arial" w:hAnsi="Arial" w:cs="Arial"/>
          <w:color w:val="auto"/>
          <w:sz w:val="20"/>
          <w:szCs w:val="20"/>
        </w:rPr>
        <w:t xml:space="preserve"> </w:t>
      </w:r>
      <w:r w:rsidRPr="00237856">
        <w:rPr>
          <w:rFonts w:ascii="Arial" w:hAnsi="Arial" w:cs="Arial"/>
          <w:b/>
          <w:bCs/>
          <w:i/>
          <w:iCs/>
          <w:color w:val="auto"/>
          <w:sz w:val="20"/>
          <w:szCs w:val="20"/>
        </w:rPr>
        <w:t xml:space="preserve">26 июля 2012 года </w:t>
      </w:r>
    </w:p>
    <w:p w:rsidR="00237856" w:rsidRPr="00237856" w:rsidRDefault="00237856" w:rsidP="00237856">
      <w:pPr>
        <w:pStyle w:val="Default"/>
        <w:jc w:val="both"/>
        <w:rPr>
          <w:rFonts w:ascii="Arial" w:hAnsi="Arial" w:cs="Arial"/>
          <w:color w:val="auto"/>
          <w:sz w:val="20"/>
          <w:szCs w:val="20"/>
        </w:rPr>
      </w:pPr>
      <w:r w:rsidRPr="00237856">
        <w:rPr>
          <w:color w:val="auto"/>
          <w:sz w:val="20"/>
          <w:szCs w:val="20"/>
        </w:rPr>
        <w:t>Орган, выдавший указанную лицензию:</w:t>
      </w:r>
      <w:r w:rsidRPr="00237856">
        <w:rPr>
          <w:rFonts w:ascii="Arial" w:hAnsi="Arial" w:cs="Arial"/>
          <w:color w:val="auto"/>
          <w:sz w:val="20"/>
          <w:szCs w:val="20"/>
        </w:rPr>
        <w:t xml:space="preserve"> </w:t>
      </w:r>
      <w:r w:rsidRPr="00237856">
        <w:rPr>
          <w:rFonts w:ascii="Arial" w:hAnsi="Arial" w:cs="Arial"/>
          <w:b/>
          <w:bCs/>
          <w:i/>
          <w:iCs/>
          <w:color w:val="auto"/>
          <w:sz w:val="20"/>
          <w:szCs w:val="20"/>
        </w:rPr>
        <w:t xml:space="preserve">Банк России </w:t>
      </w:r>
    </w:p>
    <w:p w:rsidR="00237856" w:rsidRPr="00237856" w:rsidRDefault="00237856" w:rsidP="00237856">
      <w:pPr>
        <w:pStyle w:val="Default"/>
        <w:jc w:val="both"/>
        <w:rPr>
          <w:rFonts w:ascii="Arial" w:hAnsi="Arial" w:cs="Arial"/>
          <w:color w:val="auto"/>
          <w:sz w:val="20"/>
          <w:szCs w:val="20"/>
        </w:rPr>
      </w:pPr>
      <w:r w:rsidRPr="00237856">
        <w:rPr>
          <w:color w:val="auto"/>
          <w:sz w:val="20"/>
          <w:szCs w:val="20"/>
        </w:rPr>
        <w:t>БИК:</w:t>
      </w:r>
      <w:r w:rsidRPr="00237856">
        <w:rPr>
          <w:rFonts w:ascii="Arial" w:hAnsi="Arial" w:cs="Arial"/>
          <w:color w:val="auto"/>
          <w:sz w:val="20"/>
          <w:szCs w:val="20"/>
        </w:rPr>
        <w:t xml:space="preserve"> </w:t>
      </w:r>
      <w:r w:rsidRPr="00237856">
        <w:rPr>
          <w:rFonts w:ascii="Arial" w:hAnsi="Arial" w:cs="Arial"/>
          <w:b/>
          <w:bCs/>
          <w:i/>
          <w:iCs/>
          <w:color w:val="auto"/>
          <w:sz w:val="20"/>
          <w:szCs w:val="20"/>
        </w:rPr>
        <w:t xml:space="preserve">044583505 </w:t>
      </w:r>
    </w:p>
    <w:p w:rsidR="00237856" w:rsidRPr="00237856" w:rsidRDefault="00237856" w:rsidP="00237856">
      <w:pPr>
        <w:pStyle w:val="Default"/>
        <w:jc w:val="both"/>
        <w:rPr>
          <w:rFonts w:ascii="Arial" w:hAnsi="Arial" w:cs="Arial"/>
          <w:color w:val="auto"/>
          <w:sz w:val="20"/>
          <w:szCs w:val="20"/>
        </w:rPr>
      </w:pPr>
      <w:r w:rsidRPr="00237856">
        <w:rPr>
          <w:color w:val="auto"/>
          <w:sz w:val="20"/>
          <w:szCs w:val="20"/>
        </w:rPr>
        <w:t>К/с:</w:t>
      </w:r>
      <w:r w:rsidRPr="00237856">
        <w:rPr>
          <w:rFonts w:ascii="Arial" w:hAnsi="Arial" w:cs="Arial"/>
          <w:color w:val="auto"/>
          <w:sz w:val="20"/>
          <w:szCs w:val="20"/>
        </w:rPr>
        <w:t xml:space="preserve"> </w:t>
      </w:r>
      <w:r w:rsidRPr="00237856">
        <w:rPr>
          <w:rFonts w:ascii="Arial" w:hAnsi="Arial" w:cs="Arial"/>
          <w:b/>
          <w:bCs/>
          <w:i/>
          <w:iCs/>
          <w:color w:val="auto"/>
          <w:sz w:val="20"/>
          <w:szCs w:val="20"/>
        </w:rPr>
        <w:t xml:space="preserve">30105810100000000505 в Отделении 1 Главного управления Центрального банка Российской Федерации по Центральному федеральному округу г. Москва </w:t>
      </w:r>
    </w:p>
    <w:p w:rsidR="00237856" w:rsidRPr="00237856" w:rsidRDefault="00237856" w:rsidP="00237856">
      <w:pPr>
        <w:pStyle w:val="Default"/>
        <w:jc w:val="both"/>
        <w:rPr>
          <w:rFonts w:ascii="Arial" w:hAnsi="Arial" w:cs="Arial"/>
          <w:color w:val="auto"/>
          <w:sz w:val="20"/>
          <w:szCs w:val="20"/>
        </w:rPr>
      </w:pPr>
      <w:r w:rsidRPr="00237856">
        <w:rPr>
          <w:color w:val="auto"/>
          <w:sz w:val="20"/>
          <w:szCs w:val="20"/>
        </w:rPr>
        <w:t>тел.</w:t>
      </w:r>
      <w:r w:rsidRPr="00237856">
        <w:rPr>
          <w:rFonts w:ascii="Arial" w:hAnsi="Arial" w:cs="Arial"/>
          <w:color w:val="auto"/>
          <w:sz w:val="20"/>
          <w:szCs w:val="20"/>
        </w:rPr>
        <w:t xml:space="preserve"> </w:t>
      </w:r>
      <w:r w:rsidRPr="00237856">
        <w:rPr>
          <w:rFonts w:ascii="Arial" w:hAnsi="Arial" w:cs="Arial"/>
          <w:b/>
          <w:bCs/>
          <w:i/>
          <w:iCs/>
          <w:color w:val="auto"/>
          <w:sz w:val="20"/>
          <w:szCs w:val="20"/>
        </w:rPr>
        <w:t xml:space="preserve">(495) 956-27-90, 956-27-91 </w:t>
      </w:r>
    </w:p>
    <w:p w:rsidR="00237856" w:rsidRDefault="00237856" w:rsidP="00237856">
      <w:pPr>
        <w:pStyle w:val="Default"/>
        <w:jc w:val="both"/>
        <w:rPr>
          <w:rFonts w:ascii="Arial" w:hAnsi="Arial" w:cs="Arial"/>
          <w:b/>
          <w:bCs/>
          <w:i/>
          <w:iCs/>
          <w:color w:val="auto"/>
          <w:sz w:val="20"/>
          <w:szCs w:val="20"/>
          <w:u w:val="single"/>
        </w:rPr>
      </w:pPr>
    </w:p>
    <w:p w:rsidR="00237856" w:rsidRPr="00237856" w:rsidRDefault="00237856" w:rsidP="00237856">
      <w:pPr>
        <w:pStyle w:val="Default"/>
        <w:jc w:val="both"/>
        <w:rPr>
          <w:rFonts w:ascii="Arial" w:hAnsi="Arial" w:cs="Arial"/>
          <w:color w:val="auto"/>
          <w:sz w:val="20"/>
          <w:szCs w:val="20"/>
          <w:u w:val="single"/>
        </w:rPr>
      </w:pPr>
      <w:r w:rsidRPr="00237856">
        <w:rPr>
          <w:rFonts w:ascii="Arial" w:hAnsi="Arial" w:cs="Arial"/>
          <w:b/>
          <w:bCs/>
          <w:i/>
          <w:iCs/>
          <w:color w:val="auto"/>
          <w:sz w:val="20"/>
          <w:szCs w:val="20"/>
          <w:u w:val="single"/>
        </w:rPr>
        <w:t xml:space="preserve">Банковские реквизиты счета Андеррайтера, на который должны перечисляться денежные средства, поступающие в оплату ценных бумаг, будут указаны в п. 8.6 соответствующих Условий выпуска. </w:t>
      </w:r>
    </w:p>
    <w:p w:rsidR="00237856" w:rsidRPr="00237856" w:rsidRDefault="00237856" w:rsidP="00237856">
      <w:pPr>
        <w:pStyle w:val="Default"/>
        <w:jc w:val="both"/>
        <w:rPr>
          <w:rFonts w:ascii="Arial" w:hAnsi="Arial" w:cs="Arial"/>
          <w:color w:val="auto"/>
          <w:sz w:val="20"/>
          <w:szCs w:val="20"/>
        </w:rPr>
      </w:pPr>
    </w:p>
    <w:p w:rsidR="00237856" w:rsidRPr="00237856" w:rsidRDefault="00237856" w:rsidP="00237856">
      <w:pPr>
        <w:pStyle w:val="Default"/>
        <w:ind w:firstLine="567"/>
        <w:jc w:val="both"/>
        <w:rPr>
          <w:color w:val="auto"/>
          <w:sz w:val="20"/>
          <w:szCs w:val="20"/>
        </w:rPr>
      </w:pPr>
      <w:r w:rsidRPr="00237856">
        <w:rPr>
          <w:color w:val="auto"/>
          <w:sz w:val="20"/>
          <w:szCs w:val="20"/>
        </w:rPr>
        <w:t xml:space="preserve">Иные условия и порядок оплаты ценных бумаг выпуска: </w:t>
      </w:r>
    </w:p>
    <w:p w:rsidR="00237856" w:rsidRPr="00237856" w:rsidRDefault="00237856" w:rsidP="00237856">
      <w:pPr>
        <w:pStyle w:val="Default"/>
        <w:jc w:val="both"/>
        <w:rPr>
          <w:rFonts w:ascii="Arial" w:hAnsi="Arial" w:cs="Arial"/>
          <w:color w:val="auto"/>
          <w:sz w:val="20"/>
          <w:szCs w:val="20"/>
        </w:rPr>
      </w:pPr>
      <w:r w:rsidRPr="00237856">
        <w:rPr>
          <w:rFonts w:ascii="Arial" w:hAnsi="Arial" w:cs="Arial"/>
          <w:b/>
          <w:bCs/>
          <w:i/>
          <w:iCs/>
          <w:color w:val="auto"/>
          <w:sz w:val="20"/>
          <w:szCs w:val="20"/>
        </w:rPr>
        <w:t xml:space="preserve">Андеррайтер переводит средства, полученные от размещения Биржевых облигаций, на счет Эмитента в срок, предусмотренный договором между Эмитентом и Андеррайтером. </w:t>
      </w:r>
    </w:p>
    <w:p w:rsidR="00552EC5" w:rsidRPr="00237856" w:rsidRDefault="00552EC5" w:rsidP="001D210C">
      <w:pPr>
        <w:widowControl/>
        <w:spacing w:before="0" w:after="0"/>
        <w:ind w:firstLine="567"/>
        <w:jc w:val="both"/>
        <w:rPr>
          <w:rFonts w:ascii="Arial" w:eastAsiaTheme="minorHAnsi" w:hAnsi="Arial" w:cs="Arial"/>
          <w:lang w:eastAsia="en-US"/>
        </w:rPr>
      </w:pPr>
    </w:p>
    <w:p w:rsidR="00886DC8" w:rsidRPr="00237856" w:rsidRDefault="00886DC8" w:rsidP="001D210C">
      <w:pPr>
        <w:widowControl/>
        <w:spacing w:before="0" w:after="0"/>
        <w:ind w:firstLine="567"/>
        <w:jc w:val="both"/>
        <w:rPr>
          <w:rFonts w:ascii="Arial" w:eastAsiaTheme="minorHAnsi" w:hAnsi="Arial" w:cs="Arial"/>
          <w:lang w:eastAsia="en-US"/>
        </w:rPr>
      </w:pPr>
      <w:r w:rsidRPr="00237856">
        <w:rPr>
          <w:rFonts w:eastAsiaTheme="minorHAnsi"/>
          <w:lang w:eastAsia="en-US"/>
        </w:rPr>
        <w:t>В случае оплаты ценных бумаг неденежными средствами указывается имущество, которым могут оплачиваться ценные бумаги выпуска, условия оплаты, включая документы, оформляемые при такой оплате (акты приемки-передачи имущества и т.д.), а также следующие сведения об оценщике (оценщиках), привлекаемом для определения рыночной стоимости такого имущества:</w:t>
      </w:r>
      <w:r w:rsidR="00552EC5" w:rsidRPr="00237856">
        <w:rPr>
          <w:rFonts w:ascii="Arial" w:eastAsiaTheme="minorHAnsi" w:hAnsi="Arial" w:cs="Arial"/>
          <w:lang w:eastAsia="en-US"/>
        </w:rPr>
        <w:t xml:space="preserve"> </w:t>
      </w:r>
      <w:r w:rsidR="00552EC5" w:rsidRPr="00237856">
        <w:rPr>
          <w:rFonts w:ascii="Arial" w:eastAsiaTheme="minorHAnsi" w:hAnsi="Arial" w:cs="Arial"/>
          <w:b/>
          <w:bCs/>
          <w:i/>
          <w:iCs/>
          <w:lang w:eastAsia="en-US"/>
        </w:rPr>
        <w:t>не предусмотрено.</w:t>
      </w:r>
    </w:p>
    <w:p w:rsidR="00886DC8" w:rsidRPr="00886DC8" w:rsidRDefault="00886DC8" w:rsidP="00886DC8">
      <w:pPr>
        <w:widowControl/>
        <w:spacing w:before="0" w:after="0"/>
        <w:jc w:val="both"/>
        <w:rPr>
          <w:rFonts w:eastAsiaTheme="minorHAnsi"/>
          <w:lang w:eastAsia="en-US"/>
        </w:rPr>
      </w:pPr>
    </w:p>
    <w:p w:rsidR="00886DC8" w:rsidRPr="003F1D31" w:rsidRDefault="00886DC8" w:rsidP="00886DC8">
      <w:pPr>
        <w:widowControl/>
        <w:spacing w:before="0" w:after="0"/>
        <w:ind w:firstLine="540"/>
        <w:jc w:val="both"/>
        <w:outlineLvl w:val="2"/>
        <w:rPr>
          <w:rFonts w:ascii="Arial" w:eastAsiaTheme="minorHAnsi" w:hAnsi="Arial" w:cs="Arial"/>
          <w:b/>
          <w:sz w:val="26"/>
          <w:szCs w:val="26"/>
          <w:lang w:eastAsia="en-US"/>
        </w:rPr>
      </w:pPr>
      <w:bookmarkStart w:id="114" w:name="_Toc448251209"/>
      <w:r w:rsidRPr="003F1D31">
        <w:rPr>
          <w:rFonts w:ascii="Arial" w:eastAsiaTheme="minorHAnsi" w:hAnsi="Arial" w:cs="Arial"/>
          <w:b/>
          <w:sz w:val="26"/>
          <w:szCs w:val="26"/>
          <w:lang w:eastAsia="en-US"/>
        </w:rPr>
        <w:t>8.8.7. Сведения о документе, содержащем фактические итоги размещения ценных бумаг, который представляется после завершения размещения ценных бумаг</w:t>
      </w:r>
      <w:bookmarkEnd w:id="114"/>
    </w:p>
    <w:p w:rsidR="00886DC8" w:rsidRPr="00886DC8" w:rsidRDefault="00886DC8" w:rsidP="00886DC8">
      <w:pPr>
        <w:widowControl/>
        <w:spacing w:before="0" w:after="0"/>
        <w:ind w:firstLine="540"/>
        <w:jc w:val="both"/>
        <w:rPr>
          <w:rFonts w:eastAsiaTheme="minorHAnsi"/>
          <w:lang w:eastAsia="en-US"/>
        </w:rPr>
      </w:pPr>
    </w:p>
    <w:p w:rsidR="000E56D4" w:rsidRPr="000E56D4" w:rsidRDefault="000E56D4" w:rsidP="000E56D4">
      <w:pPr>
        <w:pStyle w:val="Default"/>
        <w:ind w:firstLine="567"/>
        <w:jc w:val="both"/>
        <w:rPr>
          <w:rFonts w:ascii="Arial" w:hAnsi="Arial" w:cs="Arial"/>
          <w:b/>
          <w:bCs/>
          <w:i/>
          <w:iCs/>
          <w:color w:val="auto"/>
          <w:sz w:val="20"/>
          <w:szCs w:val="20"/>
        </w:rPr>
      </w:pPr>
      <w:r w:rsidRPr="000E56D4">
        <w:rPr>
          <w:rFonts w:ascii="Arial" w:hAnsi="Arial" w:cs="Arial"/>
          <w:b/>
          <w:bCs/>
          <w:i/>
          <w:iCs/>
          <w:color w:val="auto"/>
          <w:sz w:val="20"/>
          <w:szCs w:val="20"/>
        </w:rPr>
        <w:t xml:space="preserve">Документом, содержащим фактические итоги размещения Биржевых облигаций, является уведомление биржи об итогах размещения Биржевых облигаций, которое представляется в Банк России биржей, допустившей Биржевые облигации к организованным торгам и присвоившей их выпуску (дополнительному выпуску) идентификационный номер. </w:t>
      </w:r>
    </w:p>
    <w:p w:rsidR="00886DC8" w:rsidRPr="00886DC8" w:rsidRDefault="00886DC8" w:rsidP="00886DC8">
      <w:pPr>
        <w:widowControl/>
        <w:spacing w:before="0" w:after="0"/>
        <w:jc w:val="both"/>
        <w:rPr>
          <w:rFonts w:eastAsiaTheme="minorHAnsi"/>
          <w:lang w:eastAsia="en-US"/>
        </w:rPr>
      </w:pPr>
    </w:p>
    <w:p w:rsidR="00886DC8" w:rsidRPr="003F1D31" w:rsidRDefault="00886DC8" w:rsidP="00886DC8">
      <w:pPr>
        <w:widowControl/>
        <w:spacing w:before="0" w:after="0"/>
        <w:ind w:firstLine="540"/>
        <w:jc w:val="both"/>
        <w:outlineLvl w:val="1"/>
        <w:rPr>
          <w:rFonts w:ascii="Arial" w:eastAsiaTheme="minorHAnsi" w:hAnsi="Arial" w:cs="Arial"/>
          <w:b/>
          <w:i/>
          <w:sz w:val="28"/>
          <w:szCs w:val="28"/>
          <w:lang w:eastAsia="en-US"/>
        </w:rPr>
      </w:pPr>
      <w:bookmarkStart w:id="115" w:name="_Toc448251210"/>
      <w:r w:rsidRPr="003F1D31">
        <w:rPr>
          <w:rFonts w:ascii="Arial" w:eastAsiaTheme="minorHAnsi" w:hAnsi="Arial" w:cs="Arial"/>
          <w:b/>
          <w:i/>
          <w:sz w:val="28"/>
          <w:szCs w:val="28"/>
          <w:lang w:eastAsia="en-US"/>
        </w:rPr>
        <w:t>8.9. Порядок и условия погашения и выплаты доходов по облигациям</w:t>
      </w:r>
      <w:bookmarkEnd w:id="115"/>
    </w:p>
    <w:p w:rsidR="00F8299E" w:rsidRDefault="00F8299E" w:rsidP="00F8299E">
      <w:pPr>
        <w:pStyle w:val="Default"/>
        <w:ind w:firstLine="567"/>
        <w:jc w:val="both"/>
        <w:rPr>
          <w:rFonts w:ascii="Arial" w:hAnsi="Arial" w:cs="Arial"/>
          <w:b/>
          <w:bCs/>
          <w:i/>
          <w:iCs/>
          <w:color w:val="auto"/>
          <w:sz w:val="20"/>
          <w:szCs w:val="20"/>
        </w:rPr>
      </w:pPr>
    </w:p>
    <w:p w:rsidR="00886DC8" w:rsidRPr="003F1D31" w:rsidRDefault="00886DC8" w:rsidP="00886DC8">
      <w:pPr>
        <w:widowControl/>
        <w:spacing w:before="0" w:after="0"/>
        <w:ind w:firstLine="540"/>
        <w:jc w:val="both"/>
        <w:outlineLvl w:val="2"/>
        <w:rPr>
          <w:rFonts w:ascii="Arial" w:eastAsiaTheme="minorHAnsi" w:hAnsi="Arial" w:cs="Arial"/>
          <w:b/>
          <w:sz w:val="26"/>
          <w:szCs w:val="26"/>
          <w:lang w:eastAsia="en-US"/>
        </w:rPr>
      </w:pPr>
      <w:bookmarkStart w:id="116" w:name="_Toc448251211"/>
      <w:r w:rsidRPr="003F1D31">
        <w:rPr>
          <w:rFonts w:ascii="Arial" w:eastAsiaTheme="minorHAnsi" w:hAnsi="Arial" w:cs="Arial"/>
          <w:b/>
          <w:sz w:val="26"/>
          <w:szCs w:val="26"/>
          <w:lang w:eastAsia="en-US"/>
        </w:rPr>
        <w:t>8.9.1. Форма погашения облигаций</w:t>
      </w:r>
      <w:bookmarkEnd w:id="116"/>
    </w:p>
    <w:p w:rsidR="002B2B51" w:rsidRDefault="002B2B51" w:rsidP="00886DC8">
      <w:pPr>
        <w:widowControl/>
        <w:spacing w:before="0" w:after="0"/>
        <w:ind w:firstLine="540"/>
        <w:jc w:val="both"/>
        <w:rPr>
          <w:rFonts w:eastAsiaTheme="minorHAnsi"/>
          <w:lang w:eastAsia="en-US"/>
        </w:rPr>
      </w:pPr>
    </w:p>
    <w:p w:rsidR="00886DC8" w:rsidRPr="00886DC8" w:rsidRDefault="00886DC8" w:rsidP="00886DC8">
      <w:pPr>
        <w:widowControl/>
        <w:spacing w:before="0" w:after="0"/>
        <w:ind w:firstLine="540"/>
        <w:jc w:val="both"/>
        <w:rPr>
          <w:rFonts w:eastAsiaTheme="minorHAnsi"/>
          <w:lang w:eastAsia="en-US"/>
        </w:rPr>
      </w:pPr>
      <w:r w:rsidRPr="00886DC8">
        <w:rPr>
          <w:rFonts w:eastAsiaTheme="minorHAnsi"/>
          <w:lang w:eastAsia="en-US"/>
        </w:rPr>
        <w:t>Указывается форма погашения облигаций (денежные средства, имущество, конвертация), а также возможность и условия выбора владельцами облигаций формы их погашения.</w:t>
      </w:r>
    </w:p>
    <w:p w:rsidR="00F8299E" w:rsidRDefault="00F8299E" w:rsidP="00F8299E">
      <w:pPr>
        <w:pStyle w:val="Default"/>
        <w:ind w:firstLine="567"/>
        <w:jc w:val="both"/>
        <w:rPr>
          <w:rFonts w:ascii="Arial" w:hAnsi="Arial" w:cs="Arial"/>
          <w:b/>
          <w:bCs/>
          <w:i/>
          <w:iCs/>
          <w:color w:val="auto"/>
          <w:sz w:val="20"/>
          <w:szCs w:val="20"/>
        </w:rPr>
      </w:pPr>
    </w:p>
    <w:p w:rsidR="002B2B51" w:rsidRDefault="002B2B51" w:rsidP="002B2B51">
      <w:pPr>
        <w:pStyle w:val="Default"/>
        <w:ind w:firstLine="567"/>
        <w:jc w:val="both"/>
        <w:rPr>
          <w:rFonts w:ascii="Arial" w:hAnsi="Arial" w:cs="Arial"/>
          <w:b/>
          <w:bCs/>
          <w:i/>
          <w:iCs/>
          <w:color w:val="auto"/>
          <w:sz w:val="20"/>
          <w:szCs w:val="20"/>
        </w:rPr>
      </w:pPr>
      <w:r w:rsidRPr="002B2B51">
        <w:rPr>
          <w:rFonts w:ascii="Arial" w:hAnsi="Arial" w:cs="Arial"/>
          <w:b/>
          <w:bCs/>
          <w:i/>
          <w:iCs/>
          <w:color w:val="auto"/>
          <w:sz w:val="20"/>
          <w:szCs w:val="20"/>
        </w:rPr>
        <w:t xml:space="preserve">Погашение Биржевых облигаций производится денежными средствами в валюте Российской Федерации в безналичном порядке. </w:t>
      </w:r>
    </w:p>
    <w:p w:rsidR="002B2B51" w:rsidRPr="002B2B51" w:rsidRDefault="002B2B51" w:rsidP="002B2B51">
      <w:pPr>
        <w:pStyle w:val="Default"/>
        <w:ind w:firstLine="567"/>
        <w:jc w:val="both"/>
        <w:rPr>
          <w:rFonts w:ascii="Arial" w:hAnsi="Arial" w:cs="Arial"/>
          <w:color w:val="auto"/>
          <w:sz w:val="20"/>
          <w:szCs w:val="20"/>
        </w:rPr>
      </w:pPr>
      <w:r w:rsidRPr="002B2B51">
        <w:rPr>
          <w:rFonts w:ascii="Arial" w:hAnsi="Arial" w:cs="Arial"/>
          <w:b/>
          <w:bCs/>
          <w:i/>
          <w:iCs/>
          <w:color w:val="auto"/>
          <w:sz w:val="20"/>
          <w:szCs w:val="20"/>
        </w:rPr>
        <w:t xml:space="preserve">Возможность выбора иных форм погашения Биржевых облигаций не предусмотрена. </w:t>
      </w:r>
    </w:p>
    <w:p w:rsidR="00886DC8" w:rsidRPr="00886DC8" w:rsidRDefault="00886DC8" w:rsidP="00886DC8">
      <w:pPr>
        <w:widowControl/>
        <w:spacing w:before="0" w:after="0"/>
        <w:jc w:val="both"/>
        <w:rPr>
          <w:rFonts w:eastAsiaTheme="minorHAnsi"/>
          <w:lang w:eastAsia="en-US"/>
        </w:rPr>
      </w:pPr>
    </w:p>
    <w:p w:rsidR="00886DC8" w:rsidRPr="003F1D31" w:rsidRDefault="00886DC8" w:rsidP="00886DC8">
      <w:pPr>
        <w:widowControl/>
        <w:spacing w:before="0" w:after="0"/>
        <w:ind w:firstLine="540"/>
        <w:jc w:val="both"/>
        <w:outlineLvl w:val="2"/>
        <w:rPr>
          <w:rFonts w:ascii="Arial" w:eastAsiaTheme="minorHAnsi" w:hAnsi="Arial" w:cs="Arial"/>
          <w:b/>
          <w:sz w:val="26"/>
          <w:szCs w:val="26"/>
          <w:lang w:eastAsia="en-US"/>
        </w:rPr>
      </w:pPr>
      <w:bookmarkStart w:id="117" w:name="_Toc448251212"/>
      <w:r w:rsidRPr="003F1D31">
        <w:rPr>
          <w:rFonts w:ascii="Arial" w:eastAsiaTheme="minorHAnsi" w:hAnsi="Arial" w:cs="Arial"/>
          <w:b/>
          <w:sz w:val="26"/>
          <w:szCs w:val="26"/>
          <w:lang w:eastAsia="en-US"/>
        </w:rPr>
        <w:t>8.9.2. Порядок и условия погашения облигаций</w:t>
      </w:r>
      <w:bookmarkEnd w:id="117"/>
    </w:p>
    <w:p w:rsidR="008A2A69" w:rsidRDefault="008A2A69" w:rsidP="00886DC8">
      <w:pPr>
        <w:widowControl/>
        <w:spacing w:before="0" w:after="0"/>
        <w:ind w:firstLine="540"/>
        <w:jc w:val="both"/>
        <w:rPr>
          <w:rFonts w:eastAsiaTheme="minorHAnsi"/>
          <w:lang w:eastAsia="en-US"/>
        </w:rPr>
      </w:pPr>
    </w:p>
    <w:p w:rsidR="00886DC8" w:rsidRPr="00886DC8" w:rsidRDefault="00886DC8" w:rsidP="00886DC8">
      <w:pPr>
        <w:widowControl/>
        <w:spacing w:before="0" w:after="0"/>
        <w:ind w:firstLine="540"/>
        <w:jc w:val="both"/>
        <w:rPr>
          <w:rFonts w:eastAsiaTheme="minorHAnsi"/>
          <w:lang w:eastAsia="en-US"/>
        </w:rPr>
      </w:pPr>
      <w:r w:rsidRPr="00886DC8">
        <w:rPr>
          <w:rFonts w:eastAsiaTheme="minorHAnsi"/>
          <w:lang w:eastAsia="en-US"/>
        </w:rPr>
        <w:t>Указывается срок (дата) погашения облигаций или порядок его определения.</w:t>
      </w:r>
    </w:p>
    <w:p w:rsidR="008A2A69" w:rsidRDefault="008A2A69" w:rsidP="008A2A69">
      <w:pPr>
        <w:pStyle w:val="Default"/>
        <w:jc w:val="both"/>
        <w:rPr>
          <w:color w:val="auto"/>
          <w:sz w:val="22"/>
          <w:szCs w:val="22"/>
        </w:rPr>
      </w:pPr>
    </w:p>
    <w:p w:rsidR="00D6151A" w:rsidRPr="00D6151A" w:rsidRDefault="00D6151A" w:rsidP="00D6151A">
      <w:pPr>
        <w:pStyle w:val="Default"/>
        <w:ind w:firstLine="567"/>
        <w:jc w:val="both"/>
        <w:rPr>
          <w:rFonts w:ascii="Arial" w:hAnsi="Arial" w:cs="Arial"/>
          <w:color w:val="auto"/>
          <w:sz w:val="20"/>
          <w:szCs w:val="20"/>
        </w:rPr>
      </w:pPr>
      <w:r w:rsidRPr="00D6151A">
        <w:rPr>
          <w:rFonts w:ascii="Arial" w:hAnsi="Arial" w:cs="Arial"/>
          <w:b/>
          <w:bCs/>
          <w:i/>
          <w:iCs/>
          <w:color w:val="auto"/>
          <w:sz w:val="20"/>
          <w:szCs w:val="20"/>
        </w:rPr>
        <w:t>Максимальный срок (порядок определения максимального срока) погашения Биржевых облигаций, которые могут быть размещены в рамках Программы биржевых облигаций:</w:t>
      </w:r>
      <w:r w:rsidRPr="00D6151A">
        <w:rPr>
          <w:rFonts w:ascii="Arial" w:hAnsi="Arial" w:cs="Arial"/>
          <w:color w:val="auto"/>
          <w:sz w:val="20"/>
          <w:szCs w:val="20"/>
        </w:rPr>
        <w:t xml:space="preserve"> </w:t>
      </w:r>
      <w:r w:rsidRPr="00D6151A">
        <w:rPr>
          <w:rFonts w:ascii="Arial" w:hAnsi="Arial" w:cs="Arial"/>
          <w:b/>
          <w:bCs/>
          <w:i/>
          <w:iCs/>
          <w:color w:val="auto"/>
          <w:sz w:val="20"/>
          <w:szCs w:val="20"/>
        </w:rPr>
        <w:t xml:space="preserve">3 640 (Три тысячи шестьсот сороковой) день с даты начала размещения биржевых облигаций отдельного выпуска, размещаемого в рамках Программы биржевых облигаций. </w:t>
      </w:r>
    </w:p>
    <w:p w:rsidR="00D6151A" w:rsidRPr="00D6151A" w:rsidRDefault="00D6151A" w:rsidP="00D6151A">
      <w:pPr>
        <w:pStyle w:val="Default"/>
        <w:ind w:firstLine="567"/>
        <w:jc w:val="both"/>
        <w:rPr>
          <w:rFonts w:ascii="Arial" w:hAnsi="Arial" w:cs="Arial"/>
          <w:b/>
          <w:bCs/>
          <w:i/>
          <w:iCs/>
          <w:color w:val="auto"/>
          <w:sz w:val="20"/>
          <w:szCs w:val="20"/>
          <w:u w:val="single"/>
        </w:rPr>
      </w:pPr>
    </w:p>
    <w:p w:rsidR="00D6151A" w:rsidRPr="00D6151A" w:rsidRDefault="00D6151A" w:rsidP="00D6151A">
      <w:pPr>
        <w:pStyle w:val="Default"/>
        <w:ind w:firstLine="567"/>
        <w:jc w:val="both"/>
        <w:rPr>
          <w:rFonts w:ascii="Arial" w:hAnsi="Arial" w:cs="Arial"/>
          <w:color w:val="auto"/>
          <w:sz w:val="20"/>
          <w:szCs w:val="20"/>
          <w:u w:val="single"/>
        </w:rPr>
      </w:pPr>
      <w:r w:rsidRPr="00D6151A">
        <w:rPr>
          <w:rFonts w:ascii="Arial" w:hAnsi="Arial" w:cs="Arial"/>
          <w:b/>
          <w:bCs/>
          <w:i/>
          <w:iCs/>
          <w:color w:val="auto"/>
          <w:sz w:val="20"/>
          <w:szCs w:val="20"/>
          <w:u w:val="single"/>
        </w:rPr>
        <w:t xml:space="preserve">Срок (дата) погашения Биржевых облигаций или порядок его определения будет установлен в п. 9.2 соответствующих Условий выпуска. </w:t>
      </w:r>
    </w:p>
    <w:p w:rsidR="00D6151A" w:rsidRPr="00D6151A" w:rsidRDefault="00D6151A" w:rsidP="00D6151A">
      <w:pPr>
        <w:pStyle w:val="Default"/>
        <w:ind w:firstLine="567"/>
        <w:jc w:val="both"/>
        <w:rPr>
          <w:rFonts w:ascii="Arial" w:hAnsi="Arial" w:cs="Arial"/>
          <w:b/>
          <w:bCs/>
          <w:i/>
          <w:iCs/>
          <w:color w:val="auto"/>
          <w:sz w:val="20"/>
          <w:szCs w:val="20"/>
        </w:rPr>
      </w:pPr>
    </w:p>
    <w:p w:rsidR="00D6151A" w:rsidRPr="00D6151A" w:rsidRDefault="00D6151A" w:rsidP="00D6151A">
      <w:pPr>
        <w:pStyle w:val="Default"/>
        <w:ind w:firstLine="567"/>
        <w:jc w:val="both"/>
        <w:rPr>
          <w:rFonts w:ascii="Arial" w:hAnsi="Arial" w:cs="Arial"/>
          <w:color w:val="auto"/>
          <w:sz w:val="20"/>
          <w:szCs w:val="20"/>
        </w:rPr>
      </w:pPr>
      <w:r w:rsidRPr="00D6151A">
        <w:rPr>
          <w:rFonts w:ascii="Arial" w:hAnsi="Arial" w:cs="Arial"/>
          <w:b/>
          <w:bCs/>
          <w:i/>
          <w:iCs/>
          <w:color w:val="auto"/>
          <w:sz w:val="20"/>
          <w:szCs w:val="20"/>
        </w:rPr>
        <w:t xml:space="preserve">Дата начала и окончания погашения Биржевых облигаций совпадают. </w:t>
      </w:r>
    </w:p>
    <w:p w:rsidR="008A2A69" w:rsidRDefault="008A2A69" w:rsidP="00886DC8">
      <w:pPr>
        <w:widowControl/>
        <w:spacing w:before="0" w:after="0"/>
        <w:ind w:firstLine="540"/>
        <w:jc w:val="both"/>
        <w:rPr>
          <w:rFonts w:eastAsiaTheme="minorHAnsi"/>
          <w:lang w:eastAsia="en-US"/>
        </w:rPr>
      </w:pPr>
    </w:p>
    <w:p w:rsidR="00886DC8" w:rsidRDefault="00886DC8" w:rsidP="00886DC8">
      <w:pPr>
        <w:widowControl/>
        <w:spacing w:before="0" w:after="0"/>
        <w:ind w:firstLine="540"/>
        <w:jc w:val="both"/>
        <w:rPr>
          <w:rFonts w:eastAsiaTheme="minorHAnsi"/>
          <w:lang w:eastAsia="en-US"/>
        </w:rPr>
      </w:pPr>
      <w:r w:rsidRPr="00886DC8">
        <w:rPr>
          <w:rFonts w:eastAsiaTheme="minorHAnsi"/>
          <w:lang w:eastAsia="en-US"/>
        </w:rPr>
        <w:t>Указываются порядок и условия погашения облигаций.</w:t>
      </w:r>
    </w:p>
    <w:p w:rsidR="00A93036" w:rsidRDefault="00A93036" w:rsidP="00886DC8">
      <w:pPr>
        <w:widowControl/>
        <w:spacing w:before="0" w:after="0"/>
        <w:ind w:firstLine="540"/>
        <w:jc w:val="both"/>
        <w:rPr>
          <w:rFonts w:eastAsiaTheme="minorHAnsi"/>
          <w:lang w:eastAsia="en-US"/>
        </w:rPr>
      </w:pPr>
    </w:p>
    <w:p w:rsidR="0087331C" w:rsidRPr="0087331C" w:rsidRDefault="0087331C" w:rsidP="0087331C">
      <w:pPr>
        <w:pStyle w:val="Default"/>
        <w:ind w:firstLine="567"/>
        <w:jc w:val="both"/>
        <w:rPr>
          <w:rFonts w:ascii="Arial" w:hAnsi="Arial" w:cs="Arial"/>
          <w:color w:val="auto"/>
          <w:sz w:val="20"/>
          <w:szCs w:val="20"/>
        </w:rPr>
      </w:pPr>
      <w:r w:rsidRPr="0087331C">
        <w:rPr>
          <w:rFonts w:ascii="Arial" w:hAnsi="Arial" w:cs="Arial"/>
          <w:b/>
          <w:bCs/>
          <w:i/>
          <w:iCs/>
          <w:color w:val="auto"/>
          <w:sz w:val="20"/>
          <w:szCs w:val="20"/>
        </w:rPr>
        <w:t xml:space="preserve">Погашение Биржевых облигаций производится по непогашенной части номинальной стоимости. Выплата непогашенной части номинальной стоимости Биржевых облигаций при их погашении производится денежными средствами в валюте Российской Федерации в безналичном порядке. </w:t>
      </w:r>
    </w:p>
    <w:p w:rsidR="0087331C" w:rsidRPr="0087331C" w:rsidRDefault="0087331C" w:rsidP="0087331C">
      <w:pPr>
        <w:pStyle w:val="Default"/>
        <w:ind w:firstLine="567"/>
        <w:jc w:val="both"/>
        <w:rPr>
          <w:rFonts w:ascii="Arial" w:hAnsi="Arial" w:cs="Arial"/>
          <w:color w:val="auto"/>
          <w:sz w:val="20"/>
          <w:szCs w:val="20"/>
        </w:rPr>
      </w:pPr>
      <w:r w:rsidRPr="0087331C">
        <w:rPr>
          <w:rFonts w:ascii="Arial" w:hAnsi="Arial" w:cs="Arial"/>
          <w:b/>
          <w:bCs/>
          <w:i/>
          <w:iCs/>
          <w:color w:val="auto"/>
          <w:sz w:val="20"/>
          <w:szCs w:val="20"/>
        </w:rPr>
        <w:t xml:space="preserve">При погашении Биржевых облигаций выплачивается также купонный доход за последний купонный период. </w:t>
      </w:r>
    </w:p>
    <w:p w:rsidR="0087331C" w:rsidRPr="0087331C" w:rsidRDefault="0087331C" w:rsidP="0087331C">
      <w:pPr>
        <w:pStyle w:val="Default"/>
        <w:ind w:firstLine="567"/>
        <w:jc w:val="both"/>
        <w:rPr>
          <w:rFonts w:ascii="Arial" w:hAnsi="Arial" w:cs="Arial"/>
          <w:color w:val="auto"/>
          <w:sz w:val="20"/>
          <w:szCs w:val="20"/>
        </w:rPr>
      </w:pPr>
      <w:r w:rsidRPr="0087331C">
        <w:rPr>
          <w:rFonts w:ascii="Arial" w:hAnsi="Arial" w:cs="Arial"/>
          <w:b/>
          <w:bCs/>
          <w:i/>
          <w:iCs/>
          <w:color w:val="auto"/>
          <w:sz w:val="20"/>
          <w:szCs w:val="20"/>
        </w:rPr>
        <w:t xml:space="preserve">Если дата погашения Биржевых облигаций приходится на нерабочий праздничный или выходной день - независимо от того, будет ли это государственный выходной день или выходной день для расчетных операций, - то перечисление надлежащей суммы производится в первый рабочий день, следующий за нерабочим праздничным или выходным днем. Владелец Биржевых облигаций не имеет права требовать начисления процентов или какой-либо иной компенсации за такую задержку в платеже. </w:t>
      </w:r>
    </w:p>
    <w:p w:rsidR="00A93036" w:rsidRPr="00886DC8" w:rsidRDefault="00A93036" w:rsidP="00886DC8">
      <w:pPr>
        <w:widowControl/>
        <w:spacing w:before="0" w:after="0"/>
        <w:ind w:firstLine="540"/>
        <w:jc w:val="both"/>
        <w:rPr>
          <w:rFonts w:eastAsiaTheme="minorHAnsi"/>
          <w:lang w:eastAsia="en-US"/>
        </w:rPr>
      </w:pPr>
    </w:p>
    <w:p w:rsidR="00886DC8" w:rsidRDefault="00886DC8" w:rsidP="00886DC8">
      <w:pPr>
        <w:widowControl/>
        <w:spacing w:before="0" w:after="0"/>
        <w:ind w:firstLine="540"/>
        <w:jc w:val="both"/>
        <w:rPr>
          <w:rFonts w:eastAsiaTheme="minorHAnsi"/>
          <w:lang w:eastAsia="en-US"/>
        </w:rPr>
      </w:pPr>
      <w:r w:rsidRPr="00886DC8">
        <w:rPr>
          <w:rFonts w:eastAsiaTheme="minorHAnsi"/>
          <w:lang w:eastAsia="en-US"/>
        </w:rPr>
        <w:t>Для документарных облигаций на предъявителя с обязательным централизованным хранением указываются:</w:t>
      </w:r>
    </w:p>
    <w:p w:rsidR="0087331C" w:rsidRPr="0087331C" w:rsidRDefault="0087331C" w:rsidP="0087331C">
      <w:pPr>
        <w:pStyle w:val="Default"/>
        <w:ind w:firstLine="567"/>
        <w:jc w:val="both"/>
        <w:rPr>
          <w:rFonts w:ascii="Arial" w:hAnsi="Arial" w:cs="Arial"/>
          <w:color w:val="auto"/>
          <w:sz w:val="20"/>
          <w:szCs w:val="20"/>
        </w:rPr>
      </w:pPr>
      <w:r w:rsidRPr="0087331C">
        <w:rPr>
          <w:rFonts w:ascii="Arial" w:hAnsi="Arial" w:cs="Arial"/>
          <w:b/>
          <w:bCs/>
          <w:i/>
          <w:iCs/>
          <w:color w:val="auto"/>
          <w:sz w:val="20"/>
          <w:szCs w:val="20"/>
        </w:rPr>
        <w:t xml:space="preserve">Выплата производится денежными средствами в валюте Российской Федерации в безналичном порядке. </w:t>
      </w:r>
    </w:p>
    <w:p w:rsidR="0087331C" w:rsidRPr="0087331C" w:rsidRDefault="0087331C" w:rsidP="0087331C">
      <w:pPr>
        <w:pStyle w:val="Default"/>
        <w:ind w:firstLine="567"/>
        <w:jc w:val="both"/>
        <w:rPr>
          <w:rFonts w:ascii="Arial" w:hAnsi="Arial" w:cs="Arial"/>
          <w:color w:val="auto"/>
          <w:sz w:val="20"/>
          <w:szCs w:val="20"/>
        </w:rPr>
      </w:pPr>
      <w:r w:rsidRPr="0087331C">
        <w:rPr>
          <w:rFonts w:ascii="Arial" w:hAnsi="Arial" w:cs="Arial"/>
          <w:b/>
          <w:bCs/>
          <w:i/>
          <w:iCs/>
          <w:color w:val="auto"/>
          <w:sz w:val="20"/>
          <w:szCs w:val="20"/>
        </w:rPr>
        <w:t xml:space="preserve">Передача выплат при погашении Биржевых облигаций производится в соответствии с порядком, установленным действующим законодательством Российской Федерации. </w:t>
      </w:r>
    </w:p>
    <w:p w:rsidR="0087331C" w:rsidRPr="0087331C" w:rsidRDefault="0087331C" w:rsidP="0087331C">
      <w:pPr>
        <w:pStyle w:val="Default"/>
        <w:ind w:firstLine="567"/>
        <w:jc w:val="both"/>
        <w:rPr>
          <w:rFonts w:ascii="Arial" w:hAnsi="Arial" w:cs="Arial"/>
          <w:color w:val="auto"/>
          <w:sz w:val="20"/>
          <w:szCs w:val="20"/>
        </w:rPr>
      </w:pPr>
      <w:r w:rsidRPr="0087331C">
        <w:rPr>
          <w:rFonts w:ascii="Arial" w:hAnsi="Arial" w:cs="Arial"/>
          <w:b/>
          <w:bCs/>
          <w:i/>
          <w:iCs/>
          <w:color w:val="auto"/>
          <w:sz w:val="20"/>
          <w:szCs w:val="20"/>
        </w:rPr>
        <w:t xml:space="preserve">Владельцы и иные лица, осуществляющие в соответствии с федеральными законами права по Биржевым облигациям, получают причитающиеся им денежные выплаты в счет погашения Биржевых облигаций через депозитарий, осуществляющий учет прав на Биржевые облигации, депонентами которого они являются. Депозитарный договор между депозитарием, осуществляющим учет прав на ценные бумаги, и депонентом должен содержать порядок передачи депоненту выплат по ценным бумагам. Эмитент исполняет обязанность по осуществлению денежных выплат в счет погашения Биржевых облигаций путем перечисления денежных средств НРД. Указанная обязанность считается исполненной эмитентом с даты поступления денежных средств на счет НРД. </w:t>
      </w:r>
    </w:p>
    <w:p w:rsidR="0087331C" w:rsidRPr="0087331C" w:rsidRDefault="0087331C" w:rsidP="0087331C">
      <w:pPr>
        <w:pStyle w:val="Default"/>
        <w:ind w:firstLine="567"/>
        <w:jc w:val="both"/>
        <w:rPr>
          <w:rFonts w:ascii="Arial" w:hAnsi="Arial" w:cs="Arial"/>
          <w:color w:val="auto"/>
          <w:sz w:val="20"/>
          <w:szCs w:val="20"/>
        </w:rPr>
      </w:pPr>
      <w:r w:rsidRPr="0087331C">
        <w:rPr>
          <w:rFonts w:ascii="Arial" w:hAnsi="Arial" w:cs="Arial"/>
          <w:b/>
          <w:bCs/>
          <w:i/>
          <w:iCs/>
          <w:color w:val="auto"/>
          <w:sz w:val="20"/>
          <w:szCs w:val="20"/>
        </w:rPr>
        <w:t xml:space="preserve">Передача денежных выплат в счет погашения Биржевых облигаций осуществляется депозитарием лицу, являвшемуся его депонентом: </w:t>
      </w:r>
    </w:p>
    <w:p w:rsidR="0087331C" w:rsidRPr="0087331C" w:rsidRDefault="0087331C" w:rsidP="0087331C">
      <w:pPr>
        <w:pStyle w:val="Default"/>
        <w:ind w:firstLine="567"/>
        <w:jc w:val="both"/>
        <w:rPr>
          <w:rFonts w:ascii="Arial" w:hAnsi="Arial" w:cs="Arial"/>
          <w:color w:val="auto"/>
          <w:sz w:val="20"/>
          <w:szCs w:val="20"/>
        </w:rPr>
      </w:pPr>
      <w:r w:rsidRPr="0087331C">
        <w:rPr>
          <w:rFonts w:ascii="Arial" w:hAnsi="Arial" w:cs="Arial"/>
          <w:b/>
          <w:bCs/>
          <w:i/>
          <w:iCs/>
          <w:color w:val="auto"/>
          <w:sz w:val="20"/>
          <w:szCs w:val="20"/>
        </w:rPr>
        <w:t xml:space="preserve">1) на конец операционного дня, предшествующего дате, которая определенна в соответствии с документом, удостоверяющим права, закрепленные ценными бумагами, и в которую Биржевые облигации подлежат погашению; </w:t>
      </w:r>
    </w:p>
    <w:p w:rsidR="0087331C" w:rsidRPr="0087331C" w:rsidRDefault="0087331C" w:rsidP="0087331C">
      <w:pPr>
        <w:pStyle w:val="Default"/>
        <w:ind w:firstLine="567"/>
        <w:jc w:val="both"/>
        <w:rPr>
          <w:rFonts w:ascii="Arial" w:hAnsi="Arial" w:cs="Arial"/>
          <w:color w:val="auto"/>
          <w:sz w:val="20"/>
          <w:szCs w:val="20"/>
        </w:rPr>
      </w:pPr>
      <w:r w:rsidRPr="0087331C">
        <w:rPr>
          <w:rFonts w:ascii="Arial" w:hAnsi="Arial" w:cs="Arial"/>
          <w:b/>
          <w:bCs/>
          <w:i/>
          <w:iCs/>
          <w:color w:val="auto"/>
          <w:sz w:val="20"/>
          <w:szCs w:val="20"/>
        </w:rPr>
        <w:t xml:space="preserve">2) на конец операционного дня, следующего за датой, на которую НРД в соответствии с действующим законодательством раскрыта информация о получении НРД подлежащих передаче денежных выплат в счет погашения Биржевых облигаций в случае, если в установленную дату (установленный срок) обязанность Эмитента по осуществлению денежных выплат в счет погашения Биржевых облигаций не исполняется или исполняется ненадлежащим образом. </w:t>
      </w:r>
    </w:p>
    <w:p w:rsidR="0087331C" w:rsidRPr="0087331C" w:rsidRDefault="0087331C" w:rsidP="0087331C">
      <w:pPr>
        <w:pStyle w:val="Default"/>
        <w:ind w:firstLine="567"/>
        <w:jc w:val="both"/>
        <w:rPr>
          <w:rFonts w:ascii="Arial" w:hAnsi="Arial" w:cs="Arial"/>
          <w:color w:val="auto"/>
          <w:sz w:val="20"/>
          <w:szCs w:val="20"/>
        </w:rPr>
      </w:pPr>
      <w:r w:rsidRPr="0087331C">
        <w:rPr>
          <w:rFonts w:ascii="Arial" w:hAnsi="Arial" w:cs="Arial"/>
          <w:b/>
          <w:bCs/>
          <w:i/>
          <w:iCs/>
          <w:color w:val="auto"/>
          <w:sz w:val="20"/>
          <w:szCs w:val="20"/>
        </w:rPr>
        <w:t xml:space="preserve">Депозитарий передает своим депонентам денежные выплаты по ценным бумагам пропорционально количеству Биржевых облигаций, которые учитывались на их счетах депо на конец операционного дня, определенного в соответствии с вышеуказанным абзацем. </w:t>
      </w:r>
    </w:p>
    <w:p w:rsidR="0087331C" w:rsidRPr="0087331C" w:rsidRDefault="0087331C" w:rsidP="0087331C">
      <w:pPr>
        <w:pStyle w:val="Default"/>
        <w:ind w:firstLine="567"/>
        <w:jc w:val="both"/>
        <w:rPr>
          <w:rFonts w:ascii="Arial" w:hAnsi="Arial" w:cs="Arial"/>
          <w:color w:val="auto"/>
          <w:sz w:val="20"/>
          <w:szCs w:val="20"/>
        </w:rPr>
      </w:pPr>
      <w:r w:rsidRPr="0087331C">
        <w:rPr>
          <w:rFonts w:ascii="Arial" w:hAnsi="Arial" w:cs="Arial"/>
          <w:b/>
          <w:bCs/>
          <w:i/>
          <w:iCs/>
          <w:color w:val="auto"/>
          <w:sz w:val="20"/>
          <w:szCs w:val="20"/>
        </w:rPr>
        <w:t xml:space="preserve">Списание Биржевых облигаций со счетов депо при погашении всех Биржевых облигаций производится после исполнения Эмитентом всех обязательств перед владельцами Биржевых облигаций по выплате купонного дохода по ним за все купонные периоды и номинальной стоимости Биржевых облигаций. </w:t>
      </w:r>
    </w:p>
    <w:p w:rsidR="0087331C" w:rsidRPr="0087331C" w:rsidRDefault="0087331C" w:rsidP="0087331C">
      <w:pPr>
        <w:pStyle w:val="Default"/>
        <w:ind w:firstLine="567"/>
        <w:jc w:val="both"/>
        <w:rPr>
          <w:rFonts w:ascii="Arial" w:hAnsi="Arial" w:cs="Arial"/>
          <w:color w:val="auto"/>
          <w:sz w:val="20"/>
          <w:szCs w:val="20"/>
        </w:rPr>
      </w:pPr>
      <w:r w:rsidRPr="0087331C">
        <w:rPr>
          <w:rFonts w:ascii="Arial" w:hAnsi="Arial" w:cs="Arial"/>
          <w:b/>
          <w:bCs/>
          <w:i/>
          <w:iCs/>
          <w:color w:val="auto"/>
          <w:sz w:val="20"/>
          <w:szCs w:val="20"/>
        </w:rPr>
        <w:t xml:space="preserve">Снятие Сертификата с хранения производится после списания всех Биржевых облигаций со счетов в НРД. </w:t>
      </w:r>
    </w:p>
    <w:p w:rsidR="00293F27" w:rsidRPr="00886DC8" w:rsidRDefault="00293F27" w:rsidP="00886DC8">
      <w:pPr>
        <w:widowControl/>
        <w:spacing w:before="0" w:after="0"/>
        <w:ind w:firstLine="540"/>
        <w:jc w:val="both"/>
        <w:rPr>
          <w:rFonts w:eastAsiaTheme="minorHAnsi"/>
          <w:lang w:eastAsia="en-US"/>
        </w:rPr>
      </w:pPr>
    </w:p>
    <w:p w:rsidR="00886DC8" w:rsidRPr="003F1D31" w:rsidRDefault="00886DC8" w:rsidP="00886DC8">
      <w:pPr>
        <w:widowControl/>
        <w:spacing w:before="0" w:after="0"/>
        <w:ind w:firstLine="540"/>
        <w:jc w:val="both"/>
        <w:outlineLvl w:val="2"/>
        <w:rPr>
          <w:rFonts w:ascii="Arial" w:eastAsiaTheme="minorHAnsi" w:hAnsi="Arial" w:cs="Arial"/>
          <w:b/>
          <w:sz w:val="26"/>
          <w:szCs w:val="26"/>
          <w:lang w:eastAsia="en-US"/>
        </w:rPr>
      </w:pPr>
      <w:bookmarkStart w:id="118" w:name="_Toc448251213"/>
      <w:r w:rsidRPr="003F1D31">
        <w:rPr>
          <w:rFonts w:ascii="Arial" w:eastAsiaTheme="minorHAnsi" w:hAnsi="Arial" w:cs="Arial"/>
          <w:b/>
          <w:sz w:val="26"/>
          <w:szCs w:val="26"/>
          <w:lang w:eastAsia="en-US"/>
        </w:rPr>
        <w:t>8.9.3. Порядок определения дохода, выплачиваемого по каждой облигации</w:t>
      </w:r>
      <w:bookmarkEnd w:id="118"/>
    </w:p>
    <w:p w:rsidR="00AE2912" w:rsidRDefault="00AE2912" w:rsidP="00886DC8">
      <w:pPr>
        <w:widowControl/>
        <w:spacing w:before="0" w:after="0"/>
        <w:ind w:firstLine="540"/>
        <w:jc w:val="both"/>
        <w:rPr>
          <w:rFonts w:eastAsiaTheme="minorHAnsi"/>
          <w:lang w:eastAsia="en-US"/>
        </w:rPr>
      </w:pPr>
    </w:p>
    <w:p w:rsidR="007D028B" w:rsidRPr="007D028B" w:rsidRDefault="007D028B" w:rsidP="007D028B">
      <w:pPr>
        <w:widowControl/>
        <w:spacing w:before="0" w:after="0"/>
        <w:ind w:firstLine="540"/>
        <w:jc w:val="both"/>
        <w:rPr>
          <w:rFonts w:eastAsiaTheme="minorHAnsi"/>
          <w:bCs/>
          <w:iCs/>
          <w:lang w:eastAsia="en-US"/>
        </w:rPr>
      </w:pPr>
      <w:r w:rsidRPr="007D028B">
        <w:rPr>
          <w:rFonts w:eastAsiaTheme="minorHAnsi"/>
          <w:bCs/>
          <w:iCs/>
          <w:lang w:eastAsia="en-US"/>
        </w:rPr>
        <w:t>Указывается размер дохода или порядок его определения, в том числе размер дохода, выплачиваемого по каждому купону, или порядок его определения.</w:t>
      </w:r>
    </w:p>
    <w:p w:rsidR="00886DC8" w:rsidRPr="009E3961" w:rsidRDefault="00886DC8" w:rsidP="00886DC8">
      <w:pPr>
        <w:widowControl/>
        <w:spacing w:before="0" w:after="0"/>
        <w:ind w:firstLine="540"/>
        <w:jc w:val="both"/>
        <w:rPr>
          <w:rFonts w:ascii="Arial" w:eastAsiaTheme="minorHAnsi" w:hAnsi="Arial" w:cs="Arial"/>
          <w:lang w:eastAsia="en-US"/>
        </w:rPr>
      </w:pPr>
    </w:p>
    <w:p w:rsidR="009E3961" w:rsidRPr="009E3961" w:rsidRDefault="009E3961" w:rsidP="009E3961">
      <w:pPr>
        <w:pStyle w:val="Default"/>
        <w:ind w:firstLine="567"/>
        <w:jc w:val="both"/>
        <w:rPr>
          <w:rFonts w:ascii="Arial" w:hAnsi="Arial" w:cs="Arial"/>
          <w:color w:val="auto"/>
          <w:sz w:val="20"/>
          <w:szCs w:val="20"/>
          <w:u w:val="single"/>
        </w:rPr>
      </w:pPr>
      <w:r w:rsidRPr="009E3961">
        <w:rPr>
          <w:rFonts w:ascii="Arial" w:hAnsi="Arial" w:cs="Arial"/>
          <w:b/>
          <w:bCs/>
          <w:i/>
          <w:iCs/>
          <w:color w:val="auto"/>
          <w:sz w:val="20"/>
          <w:szCs w:val="20"/>
          <w:u w:val="single"/>
        </w:rPr>
        <w:t xml:space="preserve">Эмитент устанавливает количество, дату начала и дату окончания купонных периодов или порядок их определения по каждому отдельному выпуску Биржевых облигаций в соответствующих Условиях выпуска. </w:t>
      </w:r>
    </w:p>
    <w:p w:rsidR="009E3961" w:rsidRPr="009E3961" w:rsidRDefault="009E3961" w:rsidP="009E3961">
      <w:pPr>
        <w:pStyle w:val="Default"/>
        <w:ind w:firstLine="567"/>
        <w:jc w:val="both"/>
        <w:rPr>
          <w:rFonts w:ascii="Arial" w:hAnsi="Arial" w:cs="Arial"/>
          <w:b/>
          <w:bCs/>
          <w:i/>
          <w:iCs/>
          <w:color w:val="auto"/>
          <w:sz w:val="20"/>
          <w:szCs w:val="20"/>
        </w:rPr>
      </w:pPr>
    </w:p>
    <w:p w:rsidR="009E3961" w:rsidRPr="009E3961" w:rsidRDefault="009E3961" w:rsidP="009E3961">
      <w:pPr>
        <w:pStyle w:val="Default"/>
        <w:ind w:firstLine="567"/>
        <w:jc w:val="both"/>
        <w:rPr>
          <w:rFonts w:ascii="Arial" w:hAnsi="Arial" w:cs="Arial"/>
          <w:color w:val="auto"/>
          <w:sz w:val="20"/>
          <w:szCs w:val="20"/>
        </w:rPr>
      </w:pPr>
      <w:r w:rsidRPr="009E3961">
        <w:rPr>
          <w:rFonts w:ascii="Arial" w:hAnsi="Arial" w:cs="Arial"/>
          <w:b/>
          <w:bCs/>
          <w:i/>
          <w:iCs/>
          <w:color w:val="auto"/>
          <w:sz w:val="20"/>
          <w:szCs w:val="20"/>
        </w:rPr>
        <w:t xml:space="preserve">Доход по Биржевым облигациям выплачивается за определенные периоды (купонные периоды). Доходом по Биржевым облигациям является сумма купонных доходов, начисляемых за каждый купонный период. </w:t>
      </w:r>
    </w:p>
    <w:p w:rsidR="009E3961" w:rsidRPr="009E3961" w:rsidRDefault="009E3961" w:rsidP="009E3961">
      <w:pPr>
        <w:pStyle w:val="Default"/>
        <w:ind w:firstLine="567"/>
        <w:jc w:val="both"/>
        <w:rPr>
          <w:rFonts w:ascii="Arial" w:hAnsi="Arial" w:cs="Arial"/>
          <w:color w:val="auto"/>
          <w:sz w:val="20"/>
          <w:szCs w:val="20"/>
        </w:rPr>
      </w:pPr>
      <w:r w:rsidRPr="009E3961">
        <w:rPr>
          <w:rFonts w:ascii="Arial" w:hAnsi="Arial" w:cs="Arial"/>
          <w:b/>
          <w:bCs/>
          <w:i/>
          <w:iCs/>
          <w:color w:val="auto"/>
          <w:sz w:val="20"/>
          <w:szCs w:val="20"/>
        </w:rPr>
        <w:t xml:space="preserve">Купонный доход начисляется на непогашенную часть номинальной стоимости Биржевых облигаций. </w:t>
      </w:r>
    </w:p>
    <w:p w:rsidR="009E3961" w:rsidRPr="009E3961" w:rsidRDefault="009E3961" w:rsidP="009E3961">
      <w:pPr>
        <w:pStyle w:val="Default"/>
        <w:ind w:firstLine="567"/>
        <w:jc w:val="both"/>
        <w:rPr>
          <w:rFonts w:ascii="Arial" w:hAnsi="Arial" w:cs="Arial"/>
          <w:color w:val="auto"/>
          <w:sz w:val="20"/>
          <w:szCs w:val="20"/>
        </w:rPr>
      </w:pPr>
      <w:r w:rsidRPr="009E3961">
        <w:rPr>
          <w:rFonts w:ascii="Arial" w:hAnsi="Arial" w:cs="Arial"/>
          <w:b/>
          <w:bCs/>
          <w:i/>
          <w:iCs/>
          <w:color w:val="auto"/>
          <w:sz w:val="20"/>
          <w:szCs w:val="20"/>
        </w:rPr>
        <w:t xml:space="preserve">Размер процента (купона) на каждый купонный период устанавливается в процентах годовых от непогашенной части номинальной стоимости Биржевых облигаций с точностью до сотой доли процента. </w:t>
      </w:r>
    </w:p>
    <w:p w:rsidR="009E3961" w:rsidRPr="009E3961" w:rsidRDefault="009E3961" w:rsidP="009E3961">
      <w:pPr>
        <w:pStyle w:val="Default"/>
        <w:ind w:firstLine="567"/>
        <w:jc w:val="both"/>
        <w:rPr>
          <w:rFonts w:ascii="Arial" w:hAnsi="Arial" w:cs="Arial"/>
          <w:color w:val="auto"/>
          <w:sz w:val="20"/>
          <w:szCs w:val="20"/>
        </w:rPr>
      </w:pPr>
      <w:r w:rsidRPr="009E3961">
        <w:rPr>
          <w:rFonts w:ascii="Arial" w:hAnsi="Arial" w:cs="Arial"/>
          <w:b/>
          <w:bCs/>
          <w:i/>
          <w:iCs/>
          <w:color w:val="auto"/>
          <w:sz w:val="20"/>
          <w:szCs w:val="20"/>
        </w:rPr>
        <w:t xml:space="preserve">Органом управления Эмитента, уполномоченным на принятие решения о размере процента (купона) по Биржевым облигациям или порядке его определения в виде формулы с переменными, значения которых не могут изменяться в зависимости от усмотрения Эмитента, является единоличный исполнительный орган Эмитента. </w:t>
      </w:r>
    </w:p>
    <w:p w:rsidR="005D5336" w:rsidRDefault="005D5336" w:rsidP="00886DC8">
      <w:pPr>
        <w:widowControl/>
        <w:spacing w:before="0" w:after="0"/>
        <w:ind w:firstLine="540"/>
        <w:jc w:val="both"/>
        <w:rPr>
          <w:rFonts w:eastAsiaTheme="minorHAnsi"/>
          <w:lang w:eastAsia="en-US"/>
        </w:rPr>
      </w:pPr>
    </w:p>
    <w:p w:rsidR="005D5336" w:rsidRPr="001C33A6" w:rsidRDefault="005D5336" w:rsidP="00A06BCF">
      <w:pPr>
        <w:pStyle w:val="Default"/>
        <w:ind w:firstLine="567"/>
        <w:rPr>
          <w:color w:val="auto"/>
          <w:sz w:val="20"/>
          <w:szCs w:val="20"/>
        </w:rPr>
      </w:pPr>
      <w:r w:rsidRPr="001C33A6">
        <w:rPr>
          <w:color w:val="auto"/>
          <w:sz w:val="20"/>
          <w:szCs w:val="20"/>
        </w:rPr>
        <w:t xml:space="preserve">Порядок определения размера дохода, выплачиваемого по каждому купону: </w:t>
      </w:r>
    </w:p>
    <w:p w:rsidR="009E3961" w:rsidRDefault="009E3961" w:rsidP="009E3961">
      <w:pPr>
        <w:pStyle w:val="Default"/>
        <w:ind w:firstLine="567"/>
        <w:jc w:val="both"/>
        <w:rPr>
          <w:rFonts w:ascii="Arial" w:hAnsi="Arial" w:cs="Arial"/>
          <w:b/>
          <w:bCs/>
          <w:i/>
          <w:iCs/>
          <w:color w:val="auto"/>
          <w:sz w:val="20"/>
          <w:szCs w:val="20"/>
        </w:rPr>
      </w:pPr>
    </w:p>
    <w:p w:rsidR="009E3961" w:rsidRPr="009E3961" w:rsidRDefault="009E3961" w:rsidP="009E3961">
      <w:pPr>
        <w:pStyle w:val="Default"/>
        <w:ind w:firstLine="567"/>
        <w:jc w:val="both"/>
        <w:rPr>
          <w:rFonts w:ascii="Arial" w:hAnsi="Arial" w:cs="Arial"/>
          <w:color w:val="auto"/>
          <w:sz w:val="20"/>
          <w:szCs w:val="20"/>
        </w:rPr>
      </w:pPr>
      <w:r w:rsidRPr="009E3961">
        <w:rPr>
          <w:rFonts w:ascii="Arial" w:hAnsi="Arial" w:cs="Arial"/>
          <w:b/>
          <w:bCs/>
          <w:i/>
          <w:iCs/>
          <w:color w:val="auto"/>
          <w:sz w:val="20"/>
          <w:szCs w:val="20"/>
        </w:rPr>
        <w:t xml:space="preserve">Расчёт суммы выплат на одну Биржевую облигацию по каждому купону производится по следующей формуле: </w:t>
      </w:r>
    </w:p>
    <w:p w:rsidR="009E3961" w:rsidRPr="009E3961" w:rsidRDefault="009E3961" w:rsidP="009E3961">
      <w:pPr>
        <w:pStyle w:val="Default"/>
        <w:ind w:firstLine="567"/>
        <w:jc w:val="both"/>
        <w:rPr>
          <w:rFonts w:ascii="Arial" w:hAnsi="Arial" w:cs="Arial"/>
          <w:color w:val="auto"/>
          <w:sz w:val="20"/>
          <w:szCs w:val="20"/>
        </w:rPr>
      </w:pPr>
      <w:r w:rsidRPr="009E3961">
        <w:rPr>
          <w:rFonts w:ascii="Arial" w:hAnsi="Arial" w:cs="Arial"/>
          <w:b/>
          <w:bCs/>
          <w:i/>
          <w:iCs/>
          <w:color w:val="auto"/>
          <w:sz w:val="20"/>
          <w:szCs w:val="20"/>
        </w:rPr>
        <w:t xml:space="preserve">КДj = Cj*Nom*(T(j) - T(j-1))/365/100%, </w:t>
      </w:r>
    </w:p>
    <w:p w:rsidR="009E3961" w:rsidRPr="009E3961" w:rsidRDefault="009E3961" w:rsidP="009E3961">
      <w:pPr>
        <w:pStyle w:val="Default"/>
        <w:ind w:firstLine="567"/>
        <w:jc w:val="both"/>
        <w:rPr>
          <w:rFonts w:ascii="Arial" w:hAnsi="Arial" w:cs="Arial"/>
          <w:color w:val="auto"/>
          <w:sz w:val="20"/>
          <w:szCs w:val="20"/>
        </w:rPr>
      </w:pPr>
      <w:r w:rsidRPr="009E3961">
        <w:rPr>
          <w:rFonts w:ascii="Arial" w:hAnsi="Arial" w:cs="Arial"/>
          <w:b/>
          <w:bCs/>
          <w:i/>
          <w:iCs/>
          <w:color w:val="auto"/>
          <w:sz w:val="20"/>
          <w:szCs w:val="20"/>
        </w:rPr>
        <w:t xml:space="preserve">где, </w:t>
      </w:r>
    </w:p>
    <w:p w:rsidR="009E3961" w:rsidRPr="009E3961" w:rsidRDefault="009E3961" w:rsidP="009E3961">
      <w:pPr>
        <w:pStyle w:val="Default"/>
        <w:ind w:firstLine="567"/>
        <w:jc w:val="both"/>
        <w:rPr>
          <w:rFonts w:ascii="Arial" w:hAnsi="Arial" w:cs="Arial"/>
          <w:color w:val="auto"/>
          <w:sz w:val="20"/>
          <w:szCs w:val="20"/>
        </w:rPr>
      </w:pPr>
      <w:r w:rsidRPr="009E3961">
        <w:rPr>
          <w:rFonts w:ascii="Arial" w:hAnsi="Arial" w:cs="Arial"/>
          <w:b/>
          <w:bCs/>
          <w:i/>
          <w:iCs/>
          <w:color w:val="auto"/>
          <w:sz w:val="20"/>
          <w:szCs w:val="20"/>
        </w:rPr>
        <w:t xml:space="preserve">j - порядковый номер купонного периода, j=1,…n (где n – количество купонных периодов, установленных Условиями выпуска) </w:t>
      </w:r>
    </w:p>
    <w:p w:rsidR="009E3961" w:rsidRPr="009E3961" w:rsidRDefault="009E3961" w:rsidP="009E3961">
      <w:pPr>
        <w:pStyle w:val="Default"/>
        <w:ind w:firstLine="567"/>
        <w:jc w:val="both"/>
        <w:rPr>
          <w:rFonts w:ascii="Arial" w:hAnsi="Arial" w:cs="Arial"/>
          <w:color w:val="auto"/>
          <w:sz w:val="20"/>
          <w:szCs w:val="20"/>
        </w:rPr>
      </w:pPr>
      <w:r w:rsidRPr="009E3961">
        <w:rPr>
          <w:rFonts w:ascii="Arial" w:hAnsi="Arial" w:cs="Arial"/>
          <w:b/>
          <w:bCs/>
          <w:i/>
          <w:iCs/>
          <w:color w:val="auto"/>
          <w:sz w:val="20"/>
          <w:szCs w:val="20"/>
        </w:rPr>
        <w:t xml:space="preserve">КДj -размер купонного дохода по каждой Биржевой облигации (руб.); </w:t>
      </w:r>
    </w:p>
    <w:p w:rsidR="009E3961" w:rsidRPr="009E3961" w:rsidRDefault="009E3961" w:rsidP="009E3961">
      <w:pPr>
        <w:pStyle w:val="Default"/>
        <w:ind w:firstLine="567"/>
        <w:jc w:val="both"/>
        <w:rPr>
          <w:rFonts w:ascii="Arial" w:hAnsi="Arial" w:cs="Arial"/>
          <w:color w:val="auto"/>
          <w:sz w:val="20"/>
          <w:szCs w:val="20"/>
        </w:rPr>
      </w:pPr>
      <w:r w:rsidRPr="009E3961">
        <w:rPr>
          <w:rFonts w:ascii="Arial" w:hAnsi="Arial" w:cs="Arial"/>
          <w:b/>
          <w:bCs/>
          <w:i/>
          <w:iCs/>
          <w:color w:val="auto"/>
          <w:sz w:val="20"/>
          <w:szCs w:val="20"/>
        </w:rPr>
        <w:t xml:space="preserve">Nom - непогашенная часть номинальной стоимости одной Биржевой облигации на дату окончания j-того купонного периода(руб.); </w:t>
      </w:r>
    </w:p>
    <w:p w:rsidR="009E3961" w:rsidRPr="009E3961" w:rsidRDefault="009E3961" w:rsidP="009E3961">
      <w:pPr>
        <w:pStyle w:val="Default"/>
        <w:ind w:firstLine="567"/>
        <w:jc w:val="both"/>
        <w:rPr>
          <w:rFonts w:ascii="Arial" w:hAnsi="Arial" w:cs="Arial"/>
          <w:color w:val="auto"/>
          <w:sz w:val="20"/>
          <w:szCs w:val="20"/>
        </w:rPr>
      </w:pPr>
      <w:r w:rsidRPr="009E3961">
        <w:rPr>
          <w:rFonts w:ascii="Arial" w:hAnsi="Arial" w:cs="Arial"/>
          <w:b/>
          <w:bCs/>
          <w:i/>
          <w:iCs/>
          <w:color w:val="auto"/>
          <w:sz w:val="20"/>
          <w:szCs w:val="20"/>
        </w:rPr>
        <w:t xml:space="preserve">Cj -размер процентной ставки j-того купона, в процентах годовых; </w:t>
      </w:r>
    </w:p>
    <w:p w:rsidR="009E3961" w:rsidRPr="009E3961" w:rsidRDefault="009E3961" w:rsidP="009E3961">
      <w:pPr>
        <w:pStyle w:val="Default"/>
        <w:ind w:firstLine="567"/>
        <w:jc w:val="both"/>
        <w:rPr>
          <w:rFonts w:ascii="Arial" w:hAnsi="Arial" w:cs="Arial"/>
          <w:color w:val="auto"/>
          <w:sz w:val="20"/>
          <w:szCs w:val="20"/>
        </w:rPr>
      </w:pPr>
      <w:r w:rsidRPr="009E3961">
        <w:rPr>
          <w:rFonts w:ascii="Arial" w:hAnsi="Arial" w:cs="Arial"/>
          <w:b/>
          <w:bCs/>
          <w:i/>
          <w:iCs/>
          <w:color w:val="auto"/>
          <w:sz w:val="20"/>
          <w:szCs w:val="20"/>
        </w:rPr>
        <w:t xml:space="preserve">T(j -1) - дата начала j-того купонного периода; </w:t>
      </w:r>
    </w:p>
    <w:p w:rsidR="009E3961" w:rsidRPr="009E3961" w:rsidRDefault="009E3961" w:rsidP="009E3961">
      <w:pPr>
        <w:pStyle w:val="Default"/>
        <w:ind w:firstLine="567"/>
        <w:jc w:val="both"/>
        <w:rPr>
          <w:rFonts w:ascii="Arial" w:hAnsi="Arial" w:cs="Arial"/>
          <w:b/>
          <w:bCs/>
          <w:i/>
          <w:iCs/>
          <w:color w:val="auto"/>
          <w:sz w:val="20"/>
          <w:szCs w:val="20"/>
        </w:rPr>
      </w:pPr>
      <w:r w:rsidRPr="009E3961">
        <w:rPr>
          <w:rFonts w:ascii="Arial" w:hAnsi="Arial" w:cs="Arial"/>
          <w:b/>
          <w:bCs/>
          <w:i/>
          <w:iCs/>
          <w:color w:val="auto"/>
          <w:sz w:val="20"/>
          <w:szCs w:val="20"/>
        </w:rPr>
        <w:t xml:space="preserve">Т(j) - дата окончания j-того купонного периода. </w:t>
      </w:r>
    </w:p>
    <w:p w:rsidR="009E3961" w:rsidRPr="009E3961" w:rsidRDefault="009E3961" w:rsidP="009E3961">
      <w:pPr>
        <w:pStyle w:val="Default"/>
        <w:ind w:firstLine="567"/>
        <w:jc w:val="both"/>
        <w:rPr>
          <w:rFonts w:ascii="Arial" w:hAnsi="Arial" w:cs="Arial"/>
          <w:color w:val="auto"/>
          <w:sz w:val="20"/>
          <w:szCs w:val="20"/>
        </w:rPr>
      </w:pPr>
      <w:r w:rsidRPr="009E3961">
        <w:rPr>
          <w:rFonts w:ascii="Arial" w:hAnsi="Arial" w:cs="Arial"/>
          <w:b/>
          <w:bCs/>
          <w:i/>
          <w:iCs/>
          <w:color w:val="auto"/>
          <w:sz w:val="20"/>
          <w:szCs w:val="20"/>
        </w:rPr>
        <w:t xml:space="preserve">Величина купонного дохода по каждому купону в расчете на одну Биржевую облигацию рассчитывается с точностью до одной копейки (округление производится по правилам математического округления, а именно: в случае, если третий знак после запятой больше или равен 5, второй знак после запятой увеличивается на единицу, в случае, если третий знак после запятой меньше 5, второй знак после запятой не изменяется). </w:t>
      </w:r>
    </w:p>
    <w:p w:rsidR="005D5336" w:rsidRPr="007D028B" w:rsidRDefault="005D5336" w:rsidP="00886DC8">
      <w:pPr>
        <w:widowControl/>
        <w:spacing w:before="0" w:after="0"/>
        <w:ind w:firstLine="540"/>
        <w:jc w:val="both"/>
        <w:rPr>
          <w:rFonts w:eastAsiaTheme="minorHAnsi"/>
          <w:lang w:eastAsia="en-US"/>
        </w:rPr>
      </w:pPr>
    </w:p>
    <w:p w:rsidR="005D5336" w:rsidRPr="007D028B" w:rsidRDefault="005D5336" w:rsidP="001D210C">
      <w:pPr>
        <w:pStyle w:val="Default"/>
        <w:ind w:firstLine="567"/>
        <w:jc w:val="both"/>
        <w:rPr>
          <w:color w:val="auto"/>
          <w:sz w:val="20"/>
          <w:szCs w:val="20"/>
        </w:rPr>
      </w:pPr>
      <w:r w:rsidRPr="007D028B">
        <w:rPr>
          <w:bCs/>
          <w:color w:val="auto"/>
          <w:sz w:val="20"/>
          <w:szCs w:val="20"/>
        </w:rPr>
        <w:t xml:space="preserve">Порядок определения процентной ставки по первому купону: </w:t>
      </w:r>
    </w:p>
    <w:p w:rsidR="007D028B" w:rsidRPr="007D028B" w:rsidRDefault="007D028B" w:rsidP="007D028B">
      <w:pPr>
        <w:pStyle w:val="Default"/>
        <w:ind w:firstLine="567"/>
        <w:jc w:val="both"/>
        <w:rPr>
          <w:rFonts w:ascii="Arial" w:hAnsi="Arial" w:cs="Arial"/>
          <w:i/>
          <w:color w:val="auto"/>
          <w:sz w:val="20"/>
          <w:szCs w:val="20"/>
        </w:rPr>
      </w:pPr>
      <w:r w:rsidRPr="007D028B">
        <w:rPr>
          <w:rFonts w:ascii="Arial" w:hAnsi="Arial" w:cs="Arial"/>
          <w:b/>
          <w:bCs/>
          <w:i/>
          <w:iCs/>
          <w:color w:val="auto"/>
          <w:sz w:val="20"/>
          <w:szCs w:val="20"/>
        </w:rPr>
        <w:t xml:space="preserve">Процентная ставка по первому купону (С1) может определяться: </w:t>
      </w:r>
    </w:p>
    <w:p w:rsidR="007D028B" w:rsidRPr="007D028B" w:rsidRDefault="007D028B" w:rsidP="007D028B">
      <w:pPr>
        <w:pStyle w:val="Default"/>
        <w:ind w:firstLine="567"/>
        <w:jc w:val="both"/>
        <w:rPr>
          <w:rFonts w:ascii="Arial" w:hAnsi="Arial" w:cs="Arial"/>
          <w:i/>
          <w:color w:val="auto"/>
          <w:sz w:val="20"/>
          <w:szCs w:val="20"/>
        </w:rPr>
      </w:pPr>
      <w:r w:rsidRPr="007D028B">
        <w:rPr>
          <w:rFonts w:ascii="Arial" w:hAnsi="Arial" w:cs="Arial"/>
          <w:b/>
          <w:bCs/>
          <w:i/>
          <w:iCs/>
          <w:color w:val="auto"/>
          <w:sz w:val="20"/>
          <w:szCs w:val="20"/>
        </w:rPr>
        <w:t xml:space="preserve">А) По итогам проведения Конкурса на Бирже среди потенциальных покупателей биржевых облигаций в дату начала размещения Биржевых облигаций. </w:t>
      </w:r>
    </w:p>
    <w:p w:rsidR="007D028B" w:rsidRPr="007D028B" w:rsidRDefault="007D028B" w:rsidP="007D028B">
      <w:pPr>
        <w:pStyle w:val="Default"/>
        <w:ind w:firstLine="567"/>
        <w:jc w:val="both"/>
        <w:rPr>
          <w:rFonts w:ascii="Arial" w:hAnsi="Arial" w:cs="Arial"/>
          <w:i/>
          <w:color w:val="auto"/>
          <w:sz w:val="20"/>
          <w:szCs w:val="20"/>
        </w:rPr>
      </w:pPr>
      <w:r w:rsidRPr="007D028B">
        <w:rPr>
          <w:rFonts w:ascii="Arial" w:hAnsi="Arial" w:cs="Arial"/>
          <w:b/>
          <w:bCs/>
          <w:i/>
          <w:iCs/>
          <w:color w:val="auto"/>
          <w:sz w:val="20"/>
          <w:szCs w:val="20"/>
        </w:rPr>
        <w:t xml:space="preserve">Порядок и условия Конкурса приведены в п. 8.3. Программы биржевых облигаций. </w:t>
      </w:r>
    </w:p>
    <w:p w:rsidR="007D028B" w:rsidRPr="007D028B" w:rsidRDefault="007D028B" w:rsidP="007D028B">
      <w:pPr>
        <w:pStyle w:val="Default"/>
        <w:ind w:firstLine="567"/>
        <w:jc w:val="both"/>
        <w:rPr>
          <w:rFonts w:ascii="Arial" w:hAnsi="Arial" w:cs="Arial"/>
          <w:i/>
          <w:color w:val="auto"/>
          <w:sz w:val="20"/>
          <w:szCs w:val="20"/>
        </w:rPr>
      </w:pPr>
      <w:r w:rsidRPr="007D028B">
        <w:rPr>
          <w:rFonts w:ascii="Arial" w:hAnsi="Arial" w:cs="Arial"/>
          <w:b/>
          <w:bCs/>
          <w:i/>
          <w:iCs/>
          <w:color w:val="auto"/>
          <w:sz w:val="20"/>
          <w:szCs w:val="20"/>
        </w:rPr>
        <w:t xml:space="preserve">Информация о процентной ставке по первому купону раскрывается в порядке, предусмотренном п. 11 Программы биржевых облигаций. </w:t>
      </w:r>
    </w:p>
    <w:p w:rsidR="007D028B" w:rsidRPr="007D028B" w:rsidRDefault="007D028B" w:rsidP="007D028B">
      <w:pPr>
        <w:pStyle w:val="Default"/>
        <w:ind w:firstLine="567"/>
        <w:jc w:val="both"/>
        <w:rPr>
          <w:rFonts w:ascii="Arial" w:hAnsi="Arial" w:cs="Arial"/>
          <w:i/>
          <w:color w:val="auto"/>
          <w:sz w:val="20"/>
          <w:szCs w:val="20"/>
        </w:rPr>
      </w:pPr>
      <w:r w:rsidRPr="007D028B">
        <w:rPr>
          <w:rFonts w:ascii="Arial" w:hAnsi="Arial" w:cs="Arial"/>
          <w:b/>
          <w:bCs/>
          <w:i/>
          <w:iCs/>
          <w:color w:val="auto"/>
          <w:sz w:val="20"/>
          <w:szCs w:val="20"/>
        </w:rPr>
        <w:t xml:space="preserve">Б) Единоличным исполнительным органом Эмитента до даты начала размещения Биржевых облигаций. </w:t>
      </w:r>
    </w:p>
    <w:p w:rsidR="007D028B" w:rsidRPr="007D028B" w:rsidRDefault="007D028B" w:rsidP="007D028B">
      <w:pPr>
        <w:pStyle w:val="Default"/>
        <w:ind w:firstLine="567"/>
        <w:jc w:val="both"/>
        <w:rPr>
          <w:rFonts w:ascii="Arial" w:hAnsi="Arial" w:cs="Arial"/>
          <w:i/>
          <w:color w:val="auto"/>
          <w:sz w:val="20"/>
          <w:szCs w:val="20"/>
        </w:rPr>
      </w:pPr>
      <w:r w:rsidRPr="007D028B">
        <w:rPr>
          <w:rFonts w:ascii="Arial" w:hAnsi="Arial" w:cs="Arial"/>
          <w:b/>
          <w:bCs/>
          <w:i/>
          <w:iCs/>
          <w:color w:val="auto"/>
          <w:sz w:val="20"/>
          <w:szCs w:val="20"/>
        </w:rPr>
        <w:t xml:space="preserve">Информация о процентной ставке по первому купону в этом случае либо указывается в Условиях выпуска, либо раскрывается Эмитентом в порядке, предусмотренном п. 11 Программы биржевых облигаций. </w:t>
      </w:r>
    </w:p>
    <w:p w:rsidR="005D5336" w:rsidRDefault="005D5336" w:rsidP="001D210C">
      <w:pPr>
        <w:pStyle w:val="Default"/>
        <w:ind w:firstLine="567"/>
        <w:rPr>
          <w:b/>
          <w:bCs/>
          <w:color w:val="auto"/>
          <w:sz w:val="22"/>
          <w:szCs w:val="22"/>
        </w:rPr>
      </w:pPr>
    </w:p>
    <w:p w:rsidR="007D028B" w:rsidRPr="007D028B" w:rsidRDefault="007D028B" w:rsidP="00A06BCF">
      <w:pPr>
        <w:pStyle w:val="Default"/>
        <w:ind w:firstLine="567"/>
        <w:rPr>
          <w:color w:val="auto"/>
          <w:sz w:val="20"/>
          <w:szCs w:val="20"/>
        </w:rPr>
      </w:pPr>
      <w:r w:rsidRPr="007D028B">
        <w:rPr>
          <w:bCs/>
          <w:color w:val="auto"/>
          <w:sz w:val="20"/>
          <w:szCs w:val="20"/>
        </w:rPr>
        <w:t xml:space="preserve">Порядок определения процентной ставки по купонам, начиная со второго купона: </w:t>
      </w:r>
    </w:p>
    <w:p w:rsidR="007D028B" w:rsidRPr="007D028B" w:rsidRDefault="007D028B" w:rsidP="007D028B">
      <w:pPr>
        <w:pStyle w:val="Default"/>
        <w:ind w:firstLine="567"/>
        <w:jc w:val="both"/>
        <w:rPr>
          <w:rFonts w:ascii="Arial" w:hAnsi="Arial" w:cs="Arial"/>
          <w:color w:val="auto"/>
          <w:sz w:val="20"/>
          <w:szCs w:val="20"/>
        </w:rPr>
      </w:pPr>
      <w:r w:rsidRPr="007D028B">
        <w:rPr>
          <w:rFonts w:ascii="Arial" w:hAnsi="Arial" w:cs="Arial"/>
          <w:b/>
          <w:bCs/>
          <w:i/>
          <w:iCs/>
          <w:color w:val="auto"/>
          <w:sz w:val="20"/>
          <w:szCs w:val="20"/>
        </w:rPr>
        <w:t xml:space="preserve">а) До даты начала размещения Биржевых облигаций Эмитент обязан определить размер процента (купона) или порядок его определения в виде формулы с переменными, значения которых не могут изменяться в зависимости от усмотрения Эмитента, в отношении каждого из купонных периодов, следующих за первым, которые начинаются до окончания срока размещения Биржевых облигаций. </w:t>
      </w:r>
    </w:p>
    <w:p w:rsidR="007D028B" w:rsidRPr="007D028B" w:rsidRDefault="007D028B" w:rsidP="007D028B">
      <w:pPr>
        <w:pStyle w:val="Default"/>
        <w:ind w:firstLine="567"/>
        <w:jc w:val="both"/>
        <w:rPr>
          <w:rFonts w:ascii="Arial" w:hAnsi="Arial" w:cs="Arial"/>
          <w:color w:val="auto"/>
          <w:sz w:val="20"/>
          <w:szCs w:val="20"/>
        </w:rPr>
      </w:pPr>
      <w:r w:rsidRPr="007D028B">
        <w:rPr>
          <w:rFonts w:ascii="Arial" w:hAnsi="Arial" w:cs="Arial"/>
          <w:b/>
          <w:bCs/>
          <w:i/>
          <w:iCs/>
          <w:color w:val="auto"/>
          <w:sz w:val="20"/>
          <w:szCs w:val="20"/>
        </w:rPr>
        <w:t xml:space="preserve">До даты начала размещения Биржевых облигаций и с учетом положений предыдущего абзаца Эмитент может принять решение о процентных ставках или порядке определения размера ставок купонов в виде формулы с переменными, значения которых не могут изменяться в зависимости от усмотрения Эмитента, по любому количеству последовательно следующих друг за другом купонных периодов, начиная со второго по n-ый купонный период (где n – количество купонных периодов, установленных Условиями выпуска). </w:t>
      </w:r>
    </w:p>
    <w:p w:rsidR="007D028B" w:rsidRPr="007D028B" w:rsidRDefault="007D028B" w:rsidP="007D028B">
      <w:pPr>
        <w:pStyle w:val="Default"/>
        <w:ind w:firstLine="567"/>
        <w:jc w:val="both"/>
        <w:rPr>
          <w:rFonts w:ascii="Arial" w:hAnsi="Arial" w:cs="Arial"/>
          <w:color w:val="auto"/>
          <w:sz w:val="20"/>
          <w:szCs w:val="20"/>
        </w:rPr>
      </w:pPr>
      <w:r w:rsidRPr="007D028B">
        <w:rPr>
          <w:rFonts w:ascii="Arial" w:hAnsi="Arial" w:cs="Arial"/>
          <w:b/>
          <w:bCs/>
          <w:i/>
          <w:iCs/>
          <w:color w:val="auto"/>
          <w:sz w:val="20"/>
          <w:szCs w:val="20"/>
        </w:rPr>
        <w:t xml:space="preserve">В случае, если Эмитентом до даты начала размещения Биржевых облигаций не будет принято решение о процентных ставках в отношении какого-либо купонного периода, начиная со второго, Эмитент будет обязан приобрести Биржевые облигации по требованиям их владельцев, заявленным в течение последних 5 (Пяти) рабочих дней j-го купонного периода (j=1,…,(n-1)), непосредственно предшествующего купонному периоду, по которому размер купона будет определен Эмитентом впервые после завершения размещения и раскрытия ФБ ММВБ информации об итогах размещения Биржевых облигаций и уведомления об этом Банка России в установленном порядке. </w:t>
      </w:r>
    </w:p>
    <w:p w:rsidR="007D028B" w:rsidRPr="007D028B" w:rsidRDefault="007D028B" w:rsidP="007D028B">
      <w:pPr>
        <w:pStyle w:val="Default"/>
        <w:ind w:firstLine="567"/>
        <w:jc w:val="both"/>
        <w:rPr>
          <w:rFonts w:ascii="Arial" w:hAnsi="Arial" w:cs="Arial"/>
          <w:color w:val="auto"/>
          <w:sz w:val="20"/>
          <w:szCs w:val="20"/>
        </w:rPr>
      </w:pPr>
      <w:r w:rsidRPr="007D028B">
        <w:rPr>
          <w:rFonts w:ascii="Arial" w:hAnsi="Arial" w:cs="Arial"/>
          <w:b/>
          <w:bCs/>
          <w:i/>
          <w:iCs/>
          <w:color w:val="auto"/>
          <w:sz w:val="20"/>
          <w:szCs w:val="20"/>
        </w:rPr>
        <w:t xml:space="preserve">Информация о ставках или порядке определения размера ставок купонов в виде формулы с переменными, значения которых не могут изменяться в зависимости от усмотрения Эмитента, по купонным периодам, начиная со второго, которые определяются до даты начала размещения Биржевых облигаций, а также порядковом номере купонного периода, в котором владельцы Биржевых облигаций могут требовать приобретения Биржевых облигаций Эмитентом, раскрывается Эмитентом в порядке, предусмотренном в п. 11. Программы биржевых облигаций. </w:t>
      </w:r>
    </w:p>
    <w:p w:rsidR="007D028B" w:rsidRPr="007D028B" w:rsidRDefault="007D028B" w:rsidP="007D028B">
      <w:pPr>
        <w:pStyle w:val="Default"/>
        <w:ind w:firstLine="567"/>
        <w:jc w:val="both"/>
        <w:rPr>
          <w:rFonts w:ascii="Arial" w:hAnsi="Arial" w:cs="Arial"/>
          <w:b/>
          <w:bCs/>
          <w:i/>
          <w:iCs/>
          <w:color w:val="auto"/>
          <w:sz w:val="20"/>
          <w:szCs w:val="20"/>
        </w:rPr>
      </w:pPr>
    </w:p>
    <w:p w:rsidR="007D028B" w:rsidRPr="007D028B" w:rsidRDefault="007D028B" w:rsidP="007D028B">
      <w:pPr>
        <w:pStyle w:val="Default"/>
        <w:ind w:firstLine="567"/>
        <w:jc w:val="both"/>
        <w:rPr>
          <w:rFonts w:ascii="Arial" w:hAnsi="Arial" w:cs="Arial"/>
          <w:b/>
          <w:bCs/>
          <w:i/>
          <w:iCs/>
          <w:color w:val="auto"/>
          <w:sz w:val="20"/>
          <w:szCs w:val="20"/>
        </w:rPr>
      </w:pPr>
      <w:r w:rsidRPr="007D028B">
        <w:rPr>
          <w:rFonts w:ascii="Arial" w:hAnsi="Arial" w:cs="Arial"/>
          <w:b/>
          <w:bCs/>
          <w:i/>
          <w:iCs/>
          <w:color w:val="auto"/>
          <w:sz w:val="20"/>
          <w:szCs w:val="20"/>
        </w:rPr>
        <w:t xml:space="preserve">б) Процентная ставка или порядок определения размера ставок купонов в виде формулы с переменными, значения которых не могут изменяться в зависимости от усмотрения Эмитента, по купонным периодам, начиная со второго, размер которых не был установлен Эмитентом до даты начала размещения Биржевых облигаций (i=(j+1),..,n), определяется Эмитентом после завершения размещения и раскрытия ФБ ММВБ информации об итогах размещения Биржевых облигаций и уведомления об этом Банка России в установленном порядке в дату установления i-го купона, которая наступает не позднее, чем за 7 (Семь) рабочих дней до даты окончания (i-1)-ого купона (далее – Дата установления i-го купона). Эмитент имеет право определить в дату установления i-го купона ставку любого количества последовательно следующих за i-м купоном неопределенных купонов (при этом k - номер последнего из определяемых купонов). </w:t>
      </w:r>
    </w:p>
    <w:p w:rsidR="007D028B" w:rsidRPr="007D028B" w:rsidRDefault="007D028B" w:rsidP="007D028B">
      <w:pPr>
        <w:pStyle w:val="Default"/>
        <w:ind w:firstLine="567"/>
        <w:jc w:val="both"/>
        <w:rPr>
          <w:rFonts w:ascii="Arial" w:hAnsi="Arial" w:cs="Arial"/>
          <w:color w:val="auto"/>
          <w:sz w:val="20"/>
          <w:szCs w:val="20"/>
        </w:rPr>
      </w:pPr>
      <w:r w:rsidRPr="007D028B">
        <w:rPr>
          <w:rFonts w:ascii="Arial" w:hAnsi="Arial" w:cs="Arial"/>
          <w:b/>
          <w:bCs/>
          <w:i/>
          <w:iCs/>
          <w:color w:val="auto"/>
          <w:sz w:val="20"/>
          <w:szCs w:val="20"/>
        </w:rPr>
        <w:t xml:space="preserve">В случае если после объявления ставок купонов (в соответствии с предыдущими подпунктами), у Биржевых облигаций останутся неопределенными ставки хотя бы одного из последующих купонов ((k+1),…,n), тогда Эмитент обязан обеспечить право владельцев Биржевых облигаций требовать от Эмитента приобретения Биржевых облигаций по требованиям, заявленным владельцами Биржевых облигаций в течение последних 5 (Пяти) рабочих дней k-го купонного периода (в случае если Эмитентом определяется ставка только одного i-го купона, i=k). </w:t>
      </w:r>
    </w:p>
    <w:p w:rsidR="007D028B" w:rsidRPr="007D028B" w:rsidRDefault="007D028B" w:rsidP="007D028B">
      <w:pPr>
        <w:pStyle w:val="Default"/>
        <w:ind w:firstLine="567"/>
        <w:jc w:val="both"/>
        <w:rPr>
          <w:rFonts w:ascii="Arial" w:hAnsi="Arial" w:cs="Arial"/>
          <w:color w:val="auto"/>
          <w:sz w:val="20"/>
          <w:szCs w:val="20"/>
        </w:rPr>
      </w:pPr>
      <w:r w:rsidRPr="007D028B">
        <w:rPr>
          <w:rFonts w:ascii="Arial" w:hAnsi="Arial" w:cs="Arial"/>
          <w:b/>
          <w:bCs/>
          <w:i/>
          <w:iCs/>
          <w:color w:val="auto"/>
          <w:sz w:val="20"/>
          <w:szCs w:val="20"/>
        </w:rPr>
        <w:t xml:space="preserve">Информация о ставках или порядке определения размера ставок купонов в виде формулы с переменными, значения которых не могут изменяться в зависимости от усмотрения Эмитента, по купонным периодам, начиная со второго, которые определяются Эмитентом после завершения размещения и раскрытия ФБ ММВБ информации об итогах размещения Биржевых облигаций и уведомления об этом Банка России в установленном порядке, а также порядковом номере купонного периода, в котором владельцы Биржевых облигаций смогут требовать приобретения Биржевых облигаций Эмитентом, раскрывается Эмитентом в порядке, предусмотренном в п. 11. Программы биржевых облигаций. </w:t>
      </w:r>
    </w:p>
    <w:p w:rsidR="00886DC8" w:rsidRDefault="00886DC8" w:rsidP="00886DC8">
      <w:pPr>
        <w:widowControl/>
        <w:spacing w:before="0" w:after="0"/>
        <w:jc w:val="both"/>
        <w:rPr>
          <w:rFonts w:eastAsiaTheme="minorHAnsi"/>
          <w:lang w:eastAsia="en-US"/>
        </w:rPr>
      </w:pPr>
    </w:p>
    <w:p w:rsidR="008268E9" w:rsidRPr="00886DC8" w:rsidRDefault="008268E9" w:rsidP="008268E9">
      <w:pPr>
        <w:widowControl/>
        <w:spacing w:before="0" w:after="0"/>
        <w:ind w:firstLine="540"/>
        <w:jc w:val="both"/>
        <w:rPr>
          <w:rFonts w:eastAsiaTheme="minorHAnsi"/>
          <w:lang w:eastAsia="en-US"/>
        </w:rPr>
      </w:pPr>
      <w:r w:rsidRPr="00886DC8">
        <w:rPr>
          <w:rFonts w:eastAsiaTheme="minorHAnsi"/>
          <w:lang w:eastAsia="en-US"/>
        </w:rPr>
        <w:t>В случае если доход по облигациям выплачивается за определенные периоды (купонные периоды), указываются такие периоды или порядок их определения.</w:t>
      </w:r>
    </w:p>
    <w:p w:rsidR="008268E9" w:rsidRDefault="008268E9" w:rsidP="00886DC8">
      <w:pPr>
        <w:widowControl/>
        <w:spacing w:before="0" w:after="0"/>
        <w:jc w:val="both"/>
        <w:rPr>
          <w:rFonts w:eastAsiaTheme="minorHAnsi"/>
          <w:lang w:eastAsia="en-US"/>
        </w:rPr>
      </w:pPr>
    </w:p>
    <w:p w:rsidR="007D028B" w:rsidRPr="007D028B" w:rsidRDefault="007D028B" w:rsidP="007D028B">
      <w:pPr>
        <w:pStyle w:val="Default"/>
        <w:ind w:firstLine="567"/>
        <w:jc w:val="both"/>
        <w:rPr>
          <w:rFonts w:ascii="Arial" w:hAnsi="Arial" w:cs="Arial"/>
          <w:color w:val="auto"/>
          <w:sz w:val="20"/>
          <w:szCs w:val="20"/>
          <w:u w:val="single"/>
        </w:rPr>
      </w:pPr>
      <w:r w:rsidRPr="007D028B">
        <w:rPr>
          <w:rFonts w:ascii="Arial" w:hAnsi="Arial" w:cs="Arial"/>
          <w:b/>
          <w:bCs/>
          <w:i/>
          <w:iCs/>
          <w:color w:val="auto"/>
          <w:sz w:val="20"/>
          <w:szCs w:val="20"/>
          <w:u w:val="single"/>
        </w:rPr>
        <w:t xml:space="preserve">Эмитент устанавливает количество, дату начала и дату окончания купонных периодов или порядок их определения по каждому отдельному выпуску в Условиях выпуска. </w:t>
      </w:r>
    </w:p>
    <w:p w:rsidR="007D028B" w:rsidRPr="007D028B" w:rsidRDefault="007D028B" w:rsidP="007D028B">
      <w:pPr>
        <w:pStyle w:val="Default"/>
        <w:jc w:val="both"/>
        <w:rPr>
          <w:rFonts w:ascii="Arial" w:hAnsi="Arial" w:cs="Arial"/>
          <w:b/>
          <w:bCs/>
          <w:i/>
          <w:iCs/>
          <w:color w:val="auto"/>
          <w:sz w:val="20"/>
          <w:szCs w:val="20"/>
        </w:rPr>
      </w:pPr>
    </w:p>
    <w:p w:rsidR="007D028B" w:rsidRPr="007D028B" w:rsidRDefault="007D028B" w:rsidP="007D028B">
      <w:pPr>
        <w:pStyle w:val="Default"/>
        <w:ind w:firstLine="567"/>
        <w:jc w:val="both"/>
        <w:rPr>
          <w:rFonts w:ascii="Arial" w:hAnsi="Arial" w:cs="Arial"/>
          <w:color w:val="auto"/>
          <w:sz w:val="20"/>
          <w:szCs w:val="20"/>
        </w:rPr>
      </w:pPr>
      <w:r w:rsidRPr="007D028B">
        <w:rPr>
          <w:rFonts w:ascii="Arial" w:hAnsi="Arial" w:cs="Arial"/>
          <w:b/>
          <w:bCs/>
          <w:i/>
          <w:iCs/>
          <w:color w:val="auto"/>
          <w:sz w:val="20"/>
          <w:szCs w:val="20"/>
        </w:rPr>
        <w:t xml:space="preserve">Расчёт суммы выплат на одну Биржевую облигацию по каждому купону производится в соответствии с «Порядком определения размера дохода, выплачиваемого по каждому купону», указанным в настоящем пункте выше. </w:t>
      </w:r>
    </w:p>
    <w:p w:rsidR="007D028B" w:rsidRPr="007D028B" w:rsidRDefault="007D028B" w:rsidP="007D028B">
      <w:pPr>
        <w:pStyle w:val="Default"/>
        <w:ind w:firstLine="567"/>
        <w:jc w:val="both"/>
        <w:rPr>
          <w:rFonts w:ascii="Arial" w:hAnsi="Arial" w:cs="Arial"/>
          <w:color w:val="auto"/>
          <w:sz w:val="20"/>
          <w:szCs w:val="20"/>
        </w:rPr>
      </w:pPr>
      <w:r w:rsidRPr="007D028B">
        <w:rPr>
          <w:rFonts w:ascii="Arial" w:hAnsi="Arial" w:cs="Arial"/>
          <w:b/>
          <w:bCs/>
          <w:i/>
          <w:iCs/>
          <w:color w:val="auto"/>
          <w:sz w:val="20"/>
          <w:szCs w:val="20"/>
        </w:rPr>
        <w:t xml:space="preserve">Процентная ставка по каждому купону определяется в соответствии с порядком определения процентных ставок, указанным в настоящем пункте выше. </w:t>
      </w:r>
    </w:p>
    <w:p w:rsidR="008268E9" w:rsidRPr="00886DC8" w:rsidRDefault="008268E9" w:rsidP="00886DC8">
      <w:pPr>
        <w:widowControl/>
        <w:spacing w:before="0" w:after="0"/>
        <w:jc w:val="both"/>
        <w:rPr>
          <w:rFonts w:eastAsiaTheme="minorHAnsi"/>
          <w:lang w:eastAsia="en-US"/>
        </w:rPr>
      </w:pPr>
    </w:p>
    <w:p w:rsidR="00886DC8" w:rsidRPr="003F1D31" w:rsidRDefault="00886DC8" w:rsidP="00886DC8">
      <w:pPr>
        <w:widowControl/>
        <w:spacing w:before="0" w:after="0"/>
        <w:ind w:firstLine="540"/>
        <w:jc w:val="both"/>
        <w:outlineLvl w:val="2"/>
        <w:rPr>
          <w:rFonts w:ascii="Arial" w:eastAsiaTheme="minorHAnsi" w:hAnsi="Arial" w:cs="Arial"/>
          <w:b/>
          <w:sz w:val="26"/>
          <w:szCs w:val="26"/>
          <w:lang w:eastAsia="en-US"/>
        </w:rPr>
      </w:pPr>
      <w:bookmarkStart w:id="119" w:name="_Toc448251214"/>
      <w:r w:rsidRPr="003F1D31">
        <w:rPr>
          <w:rFonts w:ascii="Arial" w:eastAsiaTheme="minorHAnsi" w:hAnsi="Arial" w:cs="Arial"/>
          <w:b/>
          <w:sz w:val="26"/>
          <w:szCs w:val="26"/>
          <w:lang w:eastAsia="en-US"/>
        </w:rPr>
        <w:t>8.9.4. Порядок и срок выплаты дохода по облигациям</w:t>
      </w:r>
      <w:bookmarkEnd w:id="119"/>
    </w:p>
    <w:p w:rsidR="00253A19" w:rsidRDefault="00253A19" w:rsidP="00886DC8">
      <w:pPr>
        <w:widowControl/>
        <w:spacing w:before="0" w:after="0"/>
        <w:ind w:firstLine="540"/>
        <w:jc w:val="both"/>
        <w:rPr>
          <w:rFonts w:eastAsiaTheme="minorHAnsi"/>
          <w:lang w:eastAsia="en-US"/>
        </w:rPr>
      </w:pPr>
    </w:p>
    <w:p w:rsidR="00886DC8" w:rsidRPr="00886DC8" w:rsidRDefault="00886DC8" w:rsidP="00886DC8">
      <w:pPr>
        <w:widowControl/>
        <w:spacing w:before="0" w:after="0"/>
        <w:ind w:firstLine="540"/>
        <w:jc w:val="both"/>
        <w:rPr>
          <w:rFonts w:eastAsiaTheme="minorHAnsi"/>
          <w:lang w:eastAsia="en-US"/>
        </w:rPr>
      </w:pPr>
      <w:r w:rsidRPr="00886DC8">
        <w:rPr>
          <w:rFonts w:eastAsiaTheme="minorHAnsi"/>
          <w:lang w:eastAsia="en-US"/>
        </w:rPr>
        <w:t>Указывается срок (дата) выплаты дохода по облигациям или порядок его определения.</w:t>
      </w:r>
    </w:p>
    <w:p w:rsidR="00250B8C" w:rsidRDefault="00250B8C" w:rsidP="00F80610">
      <w:pPr>
        <w:pStyle w:val="Default"/>
        <w:ind w:firstLine="567"/>
        <w:jc w:val="both"/>
        <w:rPr>
          <w:rFonts w:ascii="Arial" w:hAnsi="Arial" w:cs="Arial"/>
          <w:b/>
          <w:bCs/>
          <w:i/>
          <w:iCs/>
          <w:color w:val="auto"/>
          <w:sz w:val="20"/>
          <w:szCs w:val="20"/>
        </w:rPr>
      </w:pPr>
    </w:p>
    <w:p w:rsidR="00250B8C" w:rsidRPr="00250B8C" w:rsidRDefault="00250B8C" w:rsidP="00A06BCF">
      <w:pPr>
        <w:pStyle w:val="Default"/>
        <w:ind w:firstLine="567"/>
        <w:jc w:val="both"/>
        <w:rPr>
          <w:sz w:val="20"/>
          <w:szCs w:val="20"/>
        </w:rPr>
      </w:pPr>
      <w:r w:rsidRPr="00250B8C">
        <w:rPr>
          <w:sz w:val="20"/>
          <w:szCs w:val="20"/>
        </w:rPr>
        <w:t xml:space="preserve">Срок выплаты дохода по облигациям: </w:t>
      </w:r>
    </w:p>
    <w:p w:rsidR="00250B8C" w:rsidRPr="00250B8C" w:rsidRDefault="00250B8C" w:rsidP="00250B8C">
      <w:pPr>
        <w:pStyle w:val="Default"/>
        <w:ind w:firstLine="567"/>
        <w:jc w:val="both"/>
        <w:rPr>
          <w:rFonts w:ascii="Arial" w:hAnsi="Arial" w:cs="Arial"/>
          <w:color w:val="auto"/>
          <w:sz w:val="20"/>
          <w:szCs w:val="20"/>
        </w:rPr>
      </w:pPr>
      <w:r w:rsidRPr="00250B8C">
        <w:rPr>
          <w:rFonts w:ascii="Arial" w:hAnsi="Arial" w:cs="Arial"/>
          <w:b/>
          <w:bCs/>
          <w:i/>
          <w:iCs/>
          <w:color w:val="auto"/>
          <w:sz w:val="20"/>
          <w:szCs w:val="20"/>
        </w:rPr>
        <w:t xml:space="preserve">Выплата купонного дохода по Биржевым облигациям за каждый купонный период производится в дату окончания соответствующего купонного периода. </w:t>
      </w:r>
    </w:p>
    <w:p w:rsidR="00253A19" w:rsidRDefault="00253A19" w:rsidP="00F80610">
      <w:pPr>
        <w:widowControl/>
        <w:spacing w:before="0" w:after="0"/>
        <w:ind w:firstLine="540"/>
        <w:jc w:val="both"/>
        <w:rPr>
          <w:rFonts w:eastAsiaTheme="minorHAnsi"/>
          <w:lang w:eastAsia="en-US"/>
        </w:rPr>
      </w:pPr>
    </w:p>
    <w:p w:rsidR="00713E6F" w:rsidRPr="00713E6F" w:rsidRDefault="00713E6F" w:rsidP="00713E6F">
      <w:pPr>
        <w:widowControl/>
        <w:spacing w:before="0" w:after="0"/>
        <w:ind w:firstLine="540"/>
        <w:jc w:val="both"/>
        <w:rPr>
          <w:rFonts w:eastAsiaTheme="minorHAnsi"/>
          <w:bCs/>
          <w:iCs/>
          <w:lang w:eastAsia="en-US"/>
        </w:rPr>
      </w:pPr>
      <w:r w:rsidRPr="00713E6F">
        <w:rPr>
          <w:rFonts w:eastAsiaTheme="minorHAnsi"/>
          <w:bCs/>
          <w:iCs/>
          <w:lang w:eastAsia="en-US"/>
        </w:rPr>
        <w:t>Указывается порядок выплаты дохода по облигациям, в том числе порядок выплаты (передачи) дохода по облигациям в неденежной форме в случае, если по облигациям предусматривается доход в неденежной форме.</w:t>
      </w:r>
    </w:p>
    <w:p w:rsidR="00713E6F" w:rsidRDefault="00713E6F" w:rsidP="00886DC8">
      <w:pPr>
        <w:widowControl/>
        <w:spacing w:before="0" w:after="0"/>
        <w:ind w:firstLine="540"/>
        <w:jc w:val="both"/>
        <w:rPr>
          <w:rFonts w:eastAsiaTheme="minorHAnsi"/>
          <w:lang w:eastAsia="en-US"/>
        </w:rPr>
      </w:pPr>
    </w:p>
    <w:p w:rsidR="00713E6F" w:rsidRPr="00713E6F" w:rsidRDefault="00713E6F" w:rsidP="00713E6F">
      <w:pPr>
        <w:pStyle w:val="Default"/>
        <w:ind w:firstLine="567"/>
        <w:jc w:val="both"/>
        <w:rPr>
          <w:rFonts w:ascii="Arial" w:hAnsi="Arial" w:cs="Arial"/>
          <w:b/>
          <w:bCs/>
          <w:i/>
          <w:iCs/>
          <w:color w:val="auto"/>
          <w:sz w:val="20"/>
          <w:szCs w:val="20"/>
        </w:rPr>
      </w:pPr>
      <w:r w:rsidRPr="00713E6F">
        <w:rPr>
          <w:rFonts w:ascii="Arial" w:hAnsi="Arial" w:cs="Arial"/>
          <w:b/>
          <w:bCs/>
          <w:i/>
          <w:iCs/>
          <w:color w:val="auto"/>
          <w:sz w:val="20"/>
          <w:szCs w:val="20"/>
        </w:rPr>
        <w:t xml:space="preserve">Доход по биржевым облигациям выплачивается в денежной форме. </w:t>
      </w:r>
    </w:p>
    <w:p w:rsidR="00713E6F" w:rsidRPr="00713E6F" w:rsidRDefault="00713E6F" w:rsidP="00886DC8">
      <w:pPr>
        <w:widowControl/>
        <w:spacing w:before="0" w:after="0"/>
        <w:ind w:firstLine="540"/>
        <w:jc w:val="both"/>
        <w:rPr>
          <w:rFonts w:ascii="Arial" w:eastAsiaTheme="minorHAnsi" w:hAnsi="Arial" w:cs="Arial"/>
          <w:lang w:eastAsia="en-US"/>
        </w:rPr>
      </w:pPr>
    </w:p>
    <w:p w:rsidR="00713E6F" w:rsidRPr="00713E6F" w:rsidRDefault="00713E6F" w:rsidP="00713E6F">
      <w:pPr>
        <w:pStyle w:val="Default"/>
        <w:ind w:firstLine="567"/>
        <w:jc w:val="both"/>
        <w:rPr>
          <w:rFonts w:ascii="Arial" w:hAnsi="Arial" w:cs="Arial"/>
          <w:color w:val="auto"/>
          <w:sz w:val="20"/>
          <w:szCs w:val="20"/>
        </w:rPr>
      </w:pPr>
      <w:r w:rsidRPr="00713E6F">
        <w:rPr>
          <w:rFonts w:ascii="Arial" w:hAnsi="Arial" w:cs="Arial"/>
          <w:b/>
          <w:bCs/>
          <w:i/>
          <w:iCs/>
          <w:color w:val="auto"/>
          <w:sz w:val="20"/>
          <w:szCs w:val="20"/>
        </w:rPr>
        <w:t xml:space="preserve">Выплата купонного дохода производится денежными средствами в валюте Российской Федерации в безналичном порядке. По Биржевым облигациям доход в неденежной форме не предусмотрен. </w:t>
      </w:r>
    </w:p>
    <w:p w:rsidR="00713E6F" w:rsidRPr="00713E6F" w:rsidRDefault="00713E6F" w:rsidP="00713E6F">
      <w:pPr>
        <w:pStyle w:val="Default"/>
        <w:ind w:firstLine="567"/>
        <w:jc w:val="both"/>
        <w:rPr>
          <w:rFonts w:ascii="Arial" w:hAnsi="Arial" w:cs="Arial"/>
          <w:color w:val="auto"/>
          <w:sz w:val="20"/>
          <w:szCs w:val="20"/>
        </w:rPr>
      </w:pPr>
      <w:r w:rsidRPr="00713E6F">
        <w:rPr>
          <w:rFonts w:ascii="Arial" w:hAnsi="Arial" w:cs="Arial"/>
          <w:b/>
          <w:bCs/>
          <w:i/>
          <w:iCs/>
          <w:color w:val="auto"/>
          <w:sz w:val="20"/>
          <w:szCs w:val="20"/>
        </w:rPr>
        <w:t xml:space="preserve">Если дата окончания купонного периода/дата выплаты купонного дохода приходится на нерабочий праздничный или выходной день – независимо от того, будет ли это государственный выходной день или выходной день для расчетных операций, – то перечисление надлежащей суммы производится в первый рабочий день, следующий за нерабочим праздничным или выходным днем. Владелец Биржевых облигаций не имеет права требовать начисления процентов или какой-либо иной компенсации за такую задержку в платеже. </w:t>
      </w:r>
    </w:p>
    <w:p w:rsidR="00713E6F" w:rsidRPr="00713E6F" w:rsidRDefault="00713E6F" w:rsidP="00713E6F">
      <w:pPr>
        <w:pStyle w:val="Default"/>
        <w:ind w:firstLine="567"/>
        <w:jc w:val="both"/>
        <w:rPr>
          <w:rFonts w:ascii="Arial" w:hAnsi="Arial" w:cs="Arial"/>
          <w:b/>
          <w:bCs/>
          <w:i/>
          <w:iCs/>
          <w:color w:val="auto"/>
          <w:sz w:val="20"/>
          <w:szCs w:val="20"/>
        </w:rPr>
      </w:pPr>
      <w:r w:rsidRPr="00713E6F">
        <w:rPr>
          <w:rFonts w:ascii="Arial" w:hAnsi="Arial" w:cs="Arial"/>
          <w:b/>
          <w:bCs/>
          <w:i/>
          <w:iCs/>
          <w:color w:val="auto"/>
          <w:sz w:val="20"/>
          <w:szCs w:val="20"/>
        </w:rPr>
        <w:t>Выплаты дохода по Биржевым облигациям осуществляется в соответствии с порядком, установленным действующим законодательством Российской Федерации.</w:t>
      </w:r>
    </w:p>
    <w:p w:rsidR="00713E6F" w:rsidRPr="00713E6F" w:rsidRDefault="00713E6F" w:rsidP="00713E6F">
      <w:pPr>
        <w:pStyle w:val="Default"/>
        <w:ind w:firstLine="567"/>
        <w:jc w:val="both"/>
        <w:rPr>
          <w:rFonts w:ascii="Arial" w:hAnsi="Arial" w:cs="Arial"/>
          <w:color w:val="auto"/>
          <w:sz w:val="20"/>
          <w:szCs w:val="20"/>
        </w:rPr>
      </w:pPr>
      <w:r w:rsidRPr="00713E6F">
        <w:rPr>
          <w:rFonts w:ascii="Arial" w:hAnsi="Arial" w:cs="Arial"/>
          <w:b/>
          <w:bCs/>
          <w:i/>
          <w:iCs/>
          <w:color w:val="auto"/>
          <w:sz w:val="20"/>
          <w:szCs w:val="20"/>
        </w:rPr>
        <w:t xml:space="preserve">Владельцы и иные лица, осуществляющие в соответствии с федеральными законами права по Биржевым облигациям, получают причитающиеся им доходы по Биржевым облигациям в денежной форме через депозитарий, осуществляющий учет прав на Биржевые облигации, депонентами которого они являются. Депозитарный договор между депозитарием, осуществляющим учет прав на ценные бумаги, и депонентом должен содержать порядок передачи депоненту выплат по ценным бумагам. </w:t>
      </w:r>
    </w:p>
    <w:p w:rsidR="00713E6F" w:rsidRPr="00713E6F" w:rsidRDefault="00713E6F" w:rsidP="00713E6F">
      <w:pPr>
        <w:pStyle w:val="Default"/>
        <w:ind w:firstLine="567"/>
        <w:jc w:val="both"/>
        <w:rPr>
          <w:rFonts w:ascii="Arial" w:hAnsi="Arial" w:cs="Arial"/>
          <w:color w:val="auto"/>
          <w:sz w:val="20"/>
          <w:szCs w:val="20"/>
        </w:rPr>
      </w:pPr>
      <w:r w:rsidRPr="00713E6F">
        <w:rPr>
          <w:rFonts w:ascii="Arial" w:hAnsi="Arial" w:cs="Arial"/>
          <w:b/>
          <w:bCs/>
          <w:i/>
          <w:iCs/>
          <w:color w:val="auto"/>
          <w:sz w:val="20"/>
          <w:szCs w:val="20"/>
        </w:rPr>
        <w:t xml:space="preserve">Эмитент исполняет обязанность по осуществлению денежных выплат по ценным бумагам путем перечисления денежных средств НРД. Указанная обязанность считается исполненной эмитентом с даты поступления денежных средств на счет НРД. </w:t>
      </w:r>
    </w:p>
    <w:p w:rsidR="00713E6F" w:rsidRPr="00713E6F" w:rsidRDefault="00713E6F" w:rsidP="00713E6F">
      <w:pPr>
        <w:pStyle w:val="Default"/>
        <w:ind w:firstLine="567"/>
        <w:jc w:val="both"/>
        <w:rPr>
          <w:rFonts w:ascii="Arial" w:hAnsi="Arial" w:cs="Arial"/>
          <w:color w:val="auto"/>
          <w:sz w:val="20"/>
          <w:szCs w:val="20"/>
        </w:rPr>
      </w:pPr>
      <w:r w:rsidRPr="00713E6F">
        <w:rPr>
          <w:rFonts w:ascii="Arial" w:hAnsi="Arial" w:cs="Arial"/>
          <w:b/>
          <w:bCs/>
          <w:i/>
          <w:iCs/>
          <w:color w:val="auto"/>
          <w:sz w:val="20"/>
          <w:szCs w:val="20"/>
        </w:rPr>
        <w:t xml:space="preserve">Передача доходов по Биржевым облигациям в денежной форме осуществляется депозитарием лицу, являвшемуся его депонентом: </w:t>
      </w:r>
    </w:p>
    <w:p w:rsidR="00713E6F" w:rsidRPr="00713E6F" w:rsidRDefault="00713E6F" w:rsidP="00713E6F">
      <w:pPr>
        <w:pStyle w:val="Default"/>
        <w:ind w:firstLine="567"/>
        <w:jc w:val="both"/>
        <w:rPr>
          <w:rFonts w:ascii="Arial" w:hAnsi="Arial" w:cs="Arial"/>
          <w:color w:val="auto"/>
          <w:sz w:val="20"/>
          <w:szCs w:val="20"/>
        </w:rPr>
      </w:pPr>
      <w:r w:rsidRPr="00713E6F">
        <w:rPr>
          <w:rFonts w:ascii="Arial" w:hAnsi="Arial" w:cs="Arial"/>
          <w:b/>
          <w:bCs/>
          <w:i/>
          <w:iCs/>
          <w:color w:val="auto"/>
          <w:sz w:val="20"/>
          <w:szCs w:val="20"/>
        </w:rPr>
        <w:t xml:space="preserve">1) на конец операционного дня, предшествующего дате, которая определенна в соответствии с документом, удостоверяющим права, закрепленные ценными бумагами, и в которую обязанность Эмитента по выплате доходов по Биржевым облигациям в денежной форме подлежит исполнению; </w:t>
      </w:r>
    </w:p>
    <w:p w:rsidR="00713E6F" w:rsidRPr="00713E6F" w:rsidRDefault="00713E6F" w:rsidP="00713E6F">
      <w:pPr>
        <w:pStyle w:val="Default"/>
        <w:ind w:firstLine="567"/>
        <w:jc w:val="both"/>
        <w:rPr>
          <w:rFonts w:ascii="Arial" w:hAnsi="Arial" w:cs="Arial"/>
          <w:color w:val="auto"/>
          <w:sz w:val="20"/>
          <w:szCs w:val="20"/>
        </w:rPr>
      </w:pPr>
      <w:r w:rsidRPr="00713E6F">
        <w:rPr>
          <w:rFonts w:ascii="Arial" w:hAnsi="Arial" w:cs="Arial"/>
          <w:b/>
          <w:bCs/>
          <w:i/>
          <w:iCs/>
          <w:color w:val="auto"/>
          <w:sz w:val="20"/>
          <w:szCs w:val="20"/>
        </w:rPr>
        <w:t xml:space="preserve">2) на конец операционного дня, следующего за датой, на которую НРД в соответствии с действующим законодательством раскрыта информация о получении НРД подлежащих передаче денежных выплат по ценным бумагам в случае, если в установленную дату (установленный срок) обязанность Эмитента по выплате доходов по Биржевым облигациям в денежной форме, которые подлежат выплате одновременно с осуществлением денежных выплат в счет погашения Биржевых облигаций (обязанность Эмитента по осуществлению последней денежной выплаты по Биржевым облигациям), не исполняется или исполняется ненадлежащим образом. </w:t>
      </w:r>
    </w:p>
    <w:p w:rsidR="00713E6F" w:rsidRPr="00713E6F" w:rsidRDefault="00713E6F" w:rsidP="00713E6F">
      <w:pPr>
        <w:pStyle w:val="Default"/>
        <w:ind w:firstLine="567"/>
        <w:jc w:val="both"/>
        <w:rPr>
          <w:rFonts w:ascii="Arial" w:hAnsi="Arial" w:cs="Arial"/>
          <w:color w:val="auto"/>
          <w:sz w:val="20"/>
          <w:szCs w:val="20"/>
        </w:rPr>
      </w:pPr>
      <w:r w:rsidRPr="00713E6F">
        <w:rPr>
          <w:rFonts w:ascii="Arial" w:hAnsi="Arial" w:cs="Arial"/>
          <w:b/>
          <w:bCs/>
          <w:i/>
          <w:iCs/>
          <w:color w:val="auto"/>
          <w:sz w:val="20"/>
          <w:szCs w:val="20"/>
        </w:rPr>
        <w:t xml:space="preserve">Депозитарий передает своим депонентам денежные выплаты по ценным бумагам пропорционально количеству Биржевых облигаций, которые учитывались на их счетах депо на конец операционного дня, определенного в соответствии с вышеуказанным абзацем. </w:t>
      </w:r>
    </w:p>
    <w:p w:rsidR="00713E6F" w:rsidRPr="00713E6F" w:rsidRDefault="00713E6F" w:rsidP="00713E6F">
      <w:pPr>
        <w:pStyle w:val="Default"/>
        <w:ind w:firstLine="567"/>
        <w:jc w:val="both"/>
        <w:rPr>
          <w:rFonts w:ascii="Arial" w:hAnsi="Arial" w:cs="Arial"/>
          <w:color w:val="auto"/>
          <w:sz w:val="20"/>
          <w:szCs w:val="20"/>
        </w:rPr>
      </w:pPr>
      <w:r w:rsidRPr="00713E6F">
        <w:rPr>
          <w:rFonts w:ascii="Arial" w:hAnsi="Arial" w:cs="Arial"/>
          <w:b/>
          <w:bCs/>
          <w:i/>
          <w:iCs/>
          <w:color w:val="auto"/>
          <w:sz w:val="20"/>
          <w:szCs w:val="20"/>
        </w:rPr>
        <w:t xml:space="preserve">Купонный доход по неразмещенным Биржевым облигациям или по Биржевым облигациям, переведенным на счет Эмитента в НРД, не начисляется и не выплачивается. </w:t>
      </w:r>
    </w:p>
    <w:p w:rsidR="00886DC8" w:rsidRPr="00886DC8" w:rsidRDefault="00886DC8" w:rsidP="00886DC8">
      <w:pPr>
        <w:widowControl/>
        <w:spacing w:before="0" w:after="0"/>
        <w:jc w:val="both"/>
        <w:rPr>
          <w:rFonts w:eastAsiaTheme="minorHAnsi"/>
          <w:lang w:eastAsia="en-US"/>
        </w:rPr>
      </w:pPr>
    </w:p>
    <w:p w:rsidR="00886DC8" w:rsidRPr="00886DC8" w:rsidRDefault="00886DC8" w:rsidP="00886DC8">
      <w:pPr>
        <w:widowControl/>
        <w:spacing w:before="0" w:after="0"/>
        <w:ind w:firstLine="540"/>
        <w:jc w:val="both"/>
        <w:outlineLvl w:val="2"/>
        <w:rPr>
          <w:rFonts w:eastAsiaTheme="minorHAnsi"/>
          <w:lang w:eastAsia="en-US"/>
        </w:rPr>
      </w:pPr>
      <w:bookmarkStart w:id="120" w:name="_Toc448251215"/>
      <w:r w:rsidRPr="003F1D31">
        <w:rPr>
          <w:rFonts w:ascii="Arial" w:eastAsiaTheme="minorHAnsi" w:hAnsi="Arial" w:cs="Arial"/>
          <w:b/>
          <w:sz w:val="26"/>
          <w:szCs w:val="26"/>
          <w:lang w:eastAsia="en-US"/>
        </w:rPr>
        <w:t>8.9.5. Порядок и условия досрочного погашения облигаций</w:t>
      </w:r>
      <w:bookmarkEnd w:id="120"/>
    </w:p>
    <w:p w:rsidR="00C5163E" w:rsidRDefault="00C5163E" w:rsidP="00886DC8">
      <w:pPr>
        <w:widowControl/>
        <w:spacing w:before="0" w:after="0"/>
        <w:ind w:firstLine="540"/>
        <w:jc w:val="both"/>
        <w:rPr>
          <w:rFonts w:eastAsiaTheme="minorHAnsi"/>
          <w:lang w:eastAsia="en-US"/>
        </w:rPr>
      </w:pPr>
    </w:p>
    <w:p w:rsidR="00886DC8" w:rsidRPr="00886DC8" w:rsidRDefault="00886DC8" w:rsidP="00886DC8">
      <w:pPr>
        <w:widowControl/>
        <w:spacing w:before="0" w:after="0"/>
        <w:ind w:firstLine="540"/>
        <w:jc w:val="both"/>
        <w:rPr>
          <w:rFonts w:eastAsiaTheme="minorHAnsi"/>
          <w:lang w:eastAsia="en-US"/>
        </w:rPr>
      </w:pPr>
      <w:r w:rsidRPr="00886DC8">
        <w:rPr>
          <w:rFonts w:eastAsiaTheme="minorHAnsi"/>
          <w:lang w:eastAsia="en-US"/>
        </w:rPr>
        <w:t>В случае если предусматривается возможность досрочного погашения облигаций, указываются стоимость (порядок определения стоимости), порядок и условия досрочного погашения облигаций, срок (порядок определения срока), в течение которого облигации могут быть досрочно погашены эмитентом либо владельцами облигаций могут быть направлены (предъявлены) заявления, содержащие требование о досрочном погашении облигаций, порядок раскрытия эмитентом информации об условиях и итогах досрочного погашения облигаций, а также иные условия досрочного погашения облигаций в зависимости от того, осуществляется ли досрочное погашение по усмотрению эмитента или по требованию владельцев облигаций.</w:t>
      </w:r>
    </w:p>
    <w:p w:rsidR="00886DC8" w:rsidRPr="00886DC8" w:rsidRDefault="00886DC8" w:rsidP="00886DC8">
      <w:pPr>
        <w:widowControl/>
        <w:spacing w:before="0" w:after="0"/>
        <w:ind w:firstLine="540"/>
        <w:jc w:val="both"/>
        <w:rPr>
          <w:rFonts w:eastAsiaTheme="minorHAnsi"/>
          <w:lang w:eastAsia="en-US"/>
        </w:rPr>
      </w:pPr>
      <w:r w:rsidRPr="00886DC8">
        <w:rPr>
          <w:rFonts w:eastAsiaTheme="minorHAnsi"/>
          <w:lang w:eastAsia="en-US"/>
        </w:rPr>
        <w:t>В случае если возможность досрочного погашения облигаций эмитентом не предусматривается, указывается на это обстоятельство.</w:t>
      </w:r>
    </w:p>
    <w:p w:rsidR="00713E6F" w:rsidRPr="00713E6F" w:rsidRDefault="00713E6F" w:rsidP="00713E6F">
      <w:pPr>
        <w:pStyle w:val="Default"/>
        <w:ind w:firstLine="567"/>
        <w:jc w:val="both"/>
        <w:rPr>
          <w:rFonts w:ascii="Arial" w:hAnsi="Arial" w:cs="Arial"/>
          <w:color w:val="auto"/>
          <w:sz w:val="20"/>
          <w:szCs w:val="20"/>
        </w:rPr>
      </w:pPr>
      <w:r w:rsidRPr="00713E6F">
        <w:rPr>
          <w:rFonts w:ascii="Arial" w:hAnsi="Arial" w:cs="Arial"/>
          <w:b/>
          <w:bCs/>
          <w:i/>
          <w:iCs/>
          <w:color w:val="auto"/>
          <w:sz w:val="20"/>
          <w:szCs w:val="20"/>
        </w:rPr>
        <w:t xml:space="preserve">Предусмотрена возможность досрочного погашения Биржевых облигаций по требованию их владельцев и возможность досрочного погашения Биржевых облигаций по усмотрению Эмитента. </w:t>
      </w:r>
    </w:p>
    <w:p w:rsidR="00713E6F" w:rsidRPr="00713E6F" w:rsidRDefault="00713E6F" w:rsidP="00713E6F">
      <w:pPr>
        <w:pStyle w:val="Default"/>
        <w:ind w:firstLine="567"/>
        <w:jc w:val="both"/>
        <w:rPr>
          <w:rFonts w:ascii="Arial" w:hAnsi="Arial" w:cs="Arial"/>
          <w:color w:val="auto"/>
          <w:sz w:val="20"/>
          <w:szCs w:val="20"/>
        </w:rPr>
      </w:pPr>
      <w:r w:rsidRPr="00713E6F">
        <w:rPr>
          <w:rFonts w:ascii="Arial" w:hAnsi="Arial" w:cs="Arial"/>
          <w:b/>
          <w:bCs/>
          <w:i/>
          <w:iCs/>
          <w:color w:val="auto"/>
          <w:sz w:val="20"/>
          <w:szCs w:val="20"/>
        </w:rPr>
        <w:t xml:space="preserve">Досрочное погашение Биржевых облигаций допускается только после их полной оплаты. </w:t>
      </w:r>
    </w:p>
    <w:p w:rsidR="00713E6F" w:rsidRPr="00713E6F" w:rsidRDefault="00713E6F" w:rsidP="00713E6F">
      <w:pPr>
        <w:pStyle w:val="Default"/>
        <w:ind w:firstLine="567"/>
        <w:jc w:val="both"/>
        <w:rPr>
          <w:rFonts w:ascii="Arial" w:hAnsi="Arial" w:cs="Arial"/>
          <w:color w:val="auto"/>
          <w:sz w:val="20"/>
          <w:szCs w:val="20"/>
        </w:rPr>
      </w:pPr>
      <w:r w:rsidRPr="00713E6F">
        <w:rPr>
          <w:rFonts w:ascii="Arial" w:hAnsi="Arial" w:cs="Arial"/>
          <w:b/>
          <w:bCs/>
          <w:i/>
          <w:iCs/>
          <w:color w:val="auto"/>
          <w:sz w:val="20"/>
          <w:szCs w:val="20"/>
        </w:rPr>
        <w:t xml:space="preserve">Биржевые облигации, погашенные Эмитентом досрочно, не могут быть вновь выпущены в обращение. </w:t>
      </w:r>
    </w:p>
    <w:p w:rsidR="00713E6F" w:rsidRDefault="00713E6F" w:rsidP="00713E6F">
      <w:pPr>
        <w:pStyle w:val="Default"/>
        <w:ind w:firstLine="567"/>
        <w:jc w:val="both"/>
        <w:rPr>
          <w:rFonts w:ascii="Arial" w:hAnsi="Arial" w:cs="Arial"/>
          <w:b/>
          <w:bCs/>
          <w:i/>
          <w:iCs/>
          <w:color w:val="auto"/>
          <w:sz w:val="20"/>
          <w:szCs w:val="20"/>
        </w:rPr>
      </w:pPr>
      <w:r w:rsidRPr="00713E6F">
        <w:rPr>
          <w:rFonts w:ascii="Arial" w:hAnsi="Arial" w:cs="Arial"/>
          <w:b/>
          <w:bCs/>
          <w:i/>
          <w:iCs/>
          <w:color w:val="auto"/>
          <w:sz w:val="20"/>
          <w:szCs w:val="20"/>
        </w:rPr>
        <w:t xml:space="preserve">При досрочном погашении Биржевых облигаций Эмитентом должны быть исполнены все обязательства перед владельцем Биржевых облигаций по выплате непогашенной части номинальной стоимости и купонного дохода. </w:t>
      </w:r>
    </w:p>
    <w:p w:rsidR="00713E6F" w:rsidRDefault="00713E6F" w:rsidP="00713E6F">
      <w:pPr>
        <w:pStyle w:val="Default"/>
        <w:ind w:firstLine="567"/>
        <w:jc w:val="both"/>
        <w:rPr>
          <w:rFonts w:ascii="Arial" w:hAnsi="Arial" w:cs="Arial"/>
          <w:b/>
          <w:bCs/>
          <w:i/>
          <w:iCs/>
          <w:color w:val="auto"/>
          <w:sz w:val="20"/>
          <w:szCs w:val="20"/>
        </w:rPr>
      </w:pPr>
    </w:p>
    <w:p w:rsidR="00713E6F" w:rsidRPr="00A06BCF" w:rsidRDefault="00713E6F" w:rsidP="00A06BCF">
      <w:pPr>
        <w:pStyle w:val="Default"/>
        <w:ind w:firstLine="567"/>
        <w:rPr>
          <w:color w:val="auto"/>
          <w:sz w:val="20"/>
          <w:szCs w:val="20"/>
          <w:u w:val="single"/>
        </w:rPr>
      </w:pPr>
      <w:r w:rsidRPr="00A06BCF">
        <w:rPr>
          <w:color w:val="auto"/>
          <w:sz w:val="20"/>
          <w:szCs w:val="20"/>
          <w:u w:val="single"/>
        </w:rPr>
        <w:t xml:space="preserve">Досрочное погашение по требованию их владельцев </w:t>
      </w:r>
    </w:p>
    <w:p w:rsidR="00713E6F" w:rsidRPr="00713E6F" w:rsidRDefault="00713E6F" w:rsidP="00713E6F">
      <w:pPr>
        <w:pStyle w:val="Default"/>
        <w:ind w:firstLine="567"/>
        <w:jc w:val="both"/>
        <w:rPr>
          <w:b/>
          <w:bCs/>
          <w:i/>
          <w:iCs/>
          <w:color w:val="auto"/>
          <w:sz w:val="20"/>
          <w:szCs w:val="20"/>
        </w:rPr>
      </w:pPr>
    </w:p>
    <w:p w:rsidR="00713E6F" w:rsidRPr="00713E6F" w:rsidRDefault="00713E6F" w:rsidP="00713E6F">
      <w:pPr>
        <w:pStyle w:val="Default"/>
        <w:ind w:firstLine="567"/>
        <w:jc w:val="both"/>
        <w:rPr>
          <w:rFonts w:ascii="Arial" w:hAnsi="Arial" w:cs="Arial"/>
          <w:color w:val="auto"/>
          <w:sz w:val="20"/>
          <w:szCs w:val="20"/>
        </w:rPr>
      </w:pPr>
      <w:r w:rsidRPr="00713E6F">
        <w:rPr>
          <w:rFonts w:ascii="Arial" w:hAnsi="Arial" w:cs="Arial"/>
          <w:b/>
          <w:bCs/>
          <w:i/>
          <w:iCs/>
          <w:color w:val="auto"/>
          <w:sz w:val="20"/>
          <w:szCs w:val="20"/>
        </w:rPr>
        <w:t xml:space="preserve">Владельцы Биржевых облигаций вправе предъявить их к досрочному погашению в случае делистинга Биржевых облигаций на всех биржах, осуществивших их допуск к организованным торгам. </w:t>
      </w:r>
    </w:p>
    <w:p w:rsidR="00713E6F" w:rsidRPr="00713E6F" w:rsidRDefault="00713E6F" w:rsidP="00713E6F">
      <w:pPr>
        <w:pStyle w:val="Default"/>
        <w:ind w:firstLine="567"/>
        <w:jc w:val="both"/>
        <w:rPr>
          <w:rFonts w:ascii="Arial" w:hAnsi="Arial" w:cs="Arial"/>
          <w:color w:val="auto"/>
          <w:sz w:val="20"/>
          <w:szCs w:val="20"/>
        </w:rPr>
      </w:pPr>
      <w:r w:rsidRPr="00713E6F">
        <w:rPr>
          <w:rFonts w:ascii="Arial" w:hAnsi="Arial" w:cs="Arial"/>
          <w:b/>
          <w:bCs/>
          <w:i/>
          <w:iCs/>
          <w:color w:val="auto"/>
          <w:sz w:val="20"/>
          <w:szCs w:val="20"/>
        </w:rPr>
        <w:t xml:space="preserve">Досрочное погашение Биржевых облигаций производится денежными средствами в валюте Российской Федерации в безналичном порядке. Возможность выбора владельцами Биржевых облигаций формы погашения Биржевых облигаций не предусмотрена. </w:t>
      </w:r>
    </w:p>
    <w:p w:rsidR="00713E6F" w:rsidRPr="00713E6F" w:rsidRDefault="00713E6F" w:rsidP="00713E6F">
      <w:pPr>
        <w:pStyle w:val="Default"/>
        <w:jc w:val="both"/>
        <w:rPr>
          <w:color w:val="auto"/>
          <w:sz w:val="20"/>
          <w:szCs w:val="20"/>
        </w:rPr>
      </w:pPr>
    </w:p>
    <w:p w:rsidR="00713E6F" w:rsidRPr="00713E6F" w:rsidRDefault="00713E6F" w:rsidP="00A06BCF">
      <w:pPr>
        <w:pStyle w:val="Default"/>
        <w:ind w:firstLine="567"/>
        <w:jc w:val="both"/>
        <w:rPr>
          <w:color w:val="auto"/>
          <w:sz w:val="20"/>
          <w:szCs w:val="20"/>
        </w:rPr>
      </w:pPr>
      <w:r w:rsidRPr="00713E6F">
        <w:rPr>
          <w:color w:val="auto"/>
          <w:sz w:val="20"/>
          <w:szCs w:val="20"/>
        </w:rPr>
        <w:t xml:space="preserve">Стоимость (порядок определения стоимости) досрочного погашения: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Досрочное погашение Биржевых облигаций по требованию владельцев производится по цене, равной сумме 100% номинальной стоимости (остатка номинальной стоимости, если ее часть ранее уже была выплачена) Биржевых облигаций и накопленного купонного дохода (НКД) по ним, рассчитанного на Дату досрочного погашения Биржевых облигаций по следующей формуле: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НКД = Nom * Cj * (Т - T(j-1))/365/100%,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где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НКД - накопленный купонный доход, руб.;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j - порядковый номер текущего купонного периода;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Nom - непогашенная часть номинальной стоимости одной Биржевой облигации на дату досрочного погашения Биржевых облигаций, руб.;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Cj - размер процентной ставки j - того купона в процентах годовых (%);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Т - дата расчета накопленного купонного дохода внутри j - купонного периода, являющаяся Датой досрочного погашения Биржевых облигаций;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T(j-1) - дата начала купонного периода j - того купона (для случая первого купонного периода Т(j-1) – это дата начала размещения Биржевых облигаций).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Сумма НКД определяется с точностью до одной копейки (округление производится по правилам математического округления, а именно: в случае, если третий знак после запятой больше или равен 5, второй знак после запятой увеличивается на единицу, в случае, если третий знак после запятой меньше 5, второй знак после запятой не изменяется). </w:t>
      </w:r>
    </w:p>
    <w:p w:rsidR="00713E6F" w:rsidRPr="00AF22E8" w:rsidRDefault="00713E6F" w:rsidP="00713E6F">
      <w:pPr>
        <w:pStyle w:val="Default"/>
        <w:rPr>
          <w:color w:val="auto"/>
          <w:sz w:val="20"/>
          <w:szCs w:val="20"/>
        </w:rPr>
      </w:pPr>
    </w:p>
    <w:p w:rsidR="00713E6F" w:rsidRPr="00AF22E8" w:rsidRDefault="00713E6F" w:rsidP="00A06BCF">
      <w:pPr>
        <w:pStyle w:val="Default"/>
        <w:ind w:firstLine="567"/>
        <w:jc w:val="both"/>
        <w:rPr>
          <w:color w:val="auto"/>
          <w:sz w:val="20"/>
          <w:szCs w:val="20"/>
        </w:rPr>
      </w:pPr>
      <w:r w:rsidRPr="00AF22E8">
        <w:rPr>
          <w:color w:val="auto"/>
          <w:sz w:val="20"/>
          <w:szCs w:val="20"/>
        </w:rPr>
        <w:t xml:space="preserve">Срок (порядок определения срока), в течение которого облигации могут быть досрочно погашены эмитентом либо владельцами облигаций могут быть направлены (предъявлены) заявления, содержащие требование о досрочном погашении облигаций: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Владельцами Биржевых облигаций могут быть предъявлены заявления, содержащие требование о досрочном погашении Биржевых облигаций (далее также – Требования (заявления) о досрочном погашении Биржевых облигаций, Требования (заявления)), с момента их делистинга на последней из бирж, допустившей Биржевые облигации к организованным торгам, и до истечения 30 (Тридцати) дней с даты раскрытия информации о возникновении у владельцев Биржевых облигаций права требовать досрочного погашения таких Биржевых облигаций, порядке и условиях их досрочного погашения, а в случае, если Биржевые облигации после их делистинга не допускаются биржей к организованным торгам в 30-дневный срок, - до даты раскрытия информации о допуске биржей таких Биржевых облигаций к организованным торгам либо до даты погашения Биржевых облигаций.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Требование (заявление) о досрочном погашении Биржевых облигаций предъявляется Эмитенту по его адресу, указанному в ЕГРЮЛ, с 9-00 до 18-00 часов в любой рабочий день, начиная с даты, следующей после наступления события, при наступлении которого у владельца Биржевых облигаций возникает право требовать досрочного погашения Биржевых облигаций и выплаты ему накопленного купонного дохода, рассчитанного на дату исполнения обязательств по досрочному погашению Биржевых облигаций.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Эмитент обязан погасить Биржевые облигации, предъявленные к досрочному погашению, не позднее 7 (Семи) рабочих дней с даты получения соответствующего Требования (заявления) о досрочном погашении Биржевых облигаций. </w:t>
      </w:r>
    </w:p>
    <w:p w:rsidR="00713E6F" w:rsidRPr="00AF22E8" w:rsidRDefault="00713E6F" w:rsidP="00713E6F">
      <w:pPr>
        <w:pStyle w:val="Default"/>
        <w:jc w:val="both"/>
        <w:rPr>
          <w:color w:val="auto"/>
          <w:sz w:val="20"/>
          <w:szCs w:val="20"/>
        </w:rPr>
      </w:pPr>
    </w:p>
    <w:p w:rsidR="00713E6F" w:rsidRPr="00AF22E8" w:rsidRDefault="00713E6F" w:rsidP="00A06BCF">
      <w:pPr>
        <w:pStyle w:val="Default"/>
        <w:ind w:firstLine="567"/>
        <w:jc w:val="both"/>
        <w:rPr>
          <w:color w:val="auto"/>
          <w:sz w:val="20"/>
          <w:szCs w:val="20"/>
        </w:rPr>
      </w:pPr>
      <w:r w:rsidRPr="00AF22E8">
        <w:rPr>
          <w:color w:val="auto"/>
          <w:sz w:val="20"/>
          <w:szCs w:val="20"/>
        </w:rPr>
        <w:t xml:space="preserve">Порядок раскрытия эмитентом информации об условиях и итогах досрочного погашении облигаций: </w:t>
      </w:r>
    </w:p>
    <w:p w:rsidR="00713E6F" w:rsidRPr="00AF22E8" w:rsidRDefault="00713E6F" w:rsidP="00713E6F">
      <w:pPr>
        <w:pStyle w:val="Default"/>
        <w:jc w:val="both"/>
        <w:rPr>
          <w:b/>
          <w:bCs/>
          <w:i/>
          <w:iCs/>
          <w:color w:val="auto"/>
          <w:sz w:val="20"/>
          <w:szCs w:val="20"/>
        </w:rPr>
      </w:pP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1) Информация о делистинге Биржевых облигаций публикуется Эмитентом в форме сообщения о существенном факте в следующие сроки с даты, в которую Эмитент узнал или должен был узнать, в том числе посредством получения соответствующего уведомления российского организатора торговли, об исключении Биржевых облигаций Эмитента из котировального списка российской биржи (из списка ценных бумаг, допущенных к организованным торгам российского организатора торговли):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color w:val="auto"/>
          <w:sz w:val="20"/>
          <w:szCs w:val="20"/>
        </w:rPr>
        <w:t xml:space="preserve">- </w:t>
      </w:r>
      <w:r w:rsidRPr="00AF22E8">
        <w:rPr>
          <w:rFonts w:ascii="Arial" w:hAnsi="Arial" w:cs="Arial"/>
          <w:b/>
          <w:bCs/>
          <w:i/>
          <w:iCs/>
          <w:color w:val="auto"/>
          <w:sz w:val="20"/>
          <w:szCs w:val="20"/>
        </w:rPr>
        <w:t xml:space="preserve">в ленте новостей - не позднее 1 (Одного) дня;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color w:val="auto"/>
          <w:sz w:val="20"/>
          <w:szCs w:val="20"/>
        </w:rPr>
        <w:t xml:space="preserve">- </w:t>
      </w:r>
      <w:r w:rsidRPr="00AF22E8">
        <w:rPr>
          <w:rFonts w:ascii="Arial" w:hAnsi="Arial" w:cs="Arial"/>
          <w:b/>
          <w:bCs/>
          <w:i/>
          <w:iCs/>
          <w:color w:val="auto"/>
          <w:sz w:val="20"/>
          <w:szCs w:val="20"/>
        </w:rPr>
        <w:t xml:space="preserve">на странице Эмитента в сети Интернет - не позднее 2 (Двух) дней;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При этом публикация странице Эмитента в сети Интернет осуществляется после публикации в ленте новостей. </w:t>
      </w:r>
    </w:p>
    <w:p w:rsidR="00713E6F" w:rsidRPr="00AF22E8" w:rsidRDefault="00713E6F" w:rsidP="00713E6F">
      <w:pPr>
        <w:pStyle w:val="Default"/>
        <w:ind w:firstLine="567"/>
        <w:jc w:val="both"/>
        <w:rPr>
          <w:rFonts w:ascii="Arial" w:hAnsi="Arial" w:cs="Arial"/>
          <w:b/>
          <w:bCs/>
          <w:i/>
          <w:iCs/>
          <w:color w:val="auto"/>
          <w:sz w:val="20"/>
          <w:szCs w:val="20"/>
        </w:rPr>
      </w:pP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2) Информация о возникновении у владельцев Биржевых облигаций права требовать от Эмитента досрочного погашения принадлежащих им Биржевых облигаций раскрывается Эмитентом в форме сообщения о существенном факте в следующие сроки с даты, в которую Эмитент узнал или должен был узнать о возникновении основания (наступлении события, совершении действия), повлекшего за собой возникновение у владельцев Биржевых облигаций указанного права: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color w:val="auto"/>
          <w:sz w:val="20"/>
          <w:szCs w:val="20"/>
        </w:rPr>
        <w:t xml:space="preserve">- </w:t>
      </w:r>
      <w:r w:rsidRPr="00AF22E8">
        <w:rPr>
          <w:rFonts w:ascii="Arial" w:hAnsi="Arial" w:cs="Arial"/>
          <w:b/>
          <w:bCs/>
          <w:i/>
          <w:iCs/>
          <w:color w:val="auto"/>
          <w:sz w:val="20"/>
          <w:szCs w:val="20"/>
        </w:rPr>
        <w:t xml:space="preserve">в ленте новостей - не позднее 1 (Одного) дня;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color w:val="auto"/>
          <w:sz w:val="20"/>
          <w:szCs w:val="20"/>
        </w:rPr>
        <w:t xml:space="preserve">- </w:t>
      </w:r>
      <w:r w:rsidRPr="00AF22E8">
        <w:rPr>
          <w:rFonts w:ascii="Arial" w:hAnsi="Arial" w:cs="Arial"/>
          <w:b/>
          <w:i/>
          <w:color w:val="auto"/>
          <w:sz w:val="20"/>
          <w:szCs w:val="20"/>
        </w:rPr>
        <w:t>странице</w:t>
      </w:r>
      <w:r w:rsidRPr="00AF22E8">
        <w:rPr>
          <w:rFonts w:ascii="Arial" w:hAnsi="Arial" w:cs="Arial"/>
          <w:color w:val="auto"/>
          <w:sz w:val="20"/>
          <w:szCs w:val="20"/>
        </w:rPr>
        <w:t xml:space="preserve"> </w:t>
      </w:r>
      <w:r w:rsidRPr="00AF22E8">
        <w:rPr>
          <w:rFonts w:ascii="Arial" w:hAnsi="Arial" w:cs="Arial"/>
          <w:b/>
          <w:bCs/>
          <w:i/>
          <w:iCs/>
          <w:color w:val="auto"/>
          <w:sz w:val="20"/>
          <w:szCs w:val="20"/>
        </w:rPr>
        <w:t xml:space="preserve">Эмитента в сети Интернет - не позднее 2 (Двух) дней;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При этом публикация на странице Эмитента в сети Интернет осуществляется после публикации в ленте новостей</w:t>
      </w:r>
      <w:r w:rsidRPr="00AF22E8">
        <w:rPr>
          <w:rFonts w:ascii="Arial" w:hAnsi="Arial" w:cs="Arial"/>
          <w:color w:val="auto"/>
          <w:sz w:val="20"/>
          <w:szCs w:val="20"/>
        </w:rPr>
        <w:t xml:space="preserve">.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Указанное сообщение о досрочном погашении Биржевых облигаций должно содержать условия досрочного погашения (в том числе стоимость досрочного погашения, срок и порядок осуществления Эмитентом досрочного погашения Биржевых облигаций).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Также Эмитент обязан направить в НРД уведомление о делистинге Биржевых облигаций (в случае если Биржевые облигации Эмитента не включены в список ценных бумаг, допущенных к организованным торгам, других бирж), а также о том, что Эмитент принимает Требования (заявления) о досрочном погашении Биржевых облигаций, и о сроке исполнения указанных требований. </w:t>
      </w:r>
    </w:p>
    <w:p w:rsidR="00713E6F" w:rsidRPr="00AF22E8" w:rsidRDefault="00713E6F" w:rsidP="00713E6F">
      <w:pPr>
        <w:pStyle w:val="Default"/>
        <w:ind w:firstLine="567"/>
        <w:jc w:val="both"/>
        <w:rPr>
          <w:rFonts w:ascii="Arial" w:hAnsi="Arial" w:cs="Arial"/>
          <w:b/>
          <w:bCs/>
          <w:i/>
          <w:iCs/>
          <w:color w:val="auto"/>
          <w:sz w:val="20"/>
          <w:szCs w:val="20"/>
        </w:rPr>
      </w:pP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3) Информация об итогах досрочного погашения Биржевых облигаций (в том числе о количестве досрочно погашенных Биржевых облигаций) раскрывается Эмитентом в форме сообщения о существенном факте в следующие сроки с даты досрочного погашения Биржевых облигаций: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color w:val="auto"/>
          <w:sz w:val="20"/>
          <w:szCs w:val="20"/>
        </w:rPr>
        <w:t xml:space="preserve">- </w:t>
      </w:r>
      <w:r w:rsidRPr="00AF22E8">
        <w:rPr>
          <w:rFonts w:ascii="Arial" w:hAnsi="Arial" w:cs="Arial"/>
          <w:b/>
          <w:bCs/>
          <w:i/>
          <w:iCs/>
          <w:color w:val="auto"/>
          <w:sz w:val="20"/>
          <w:szCs w:val="20"/>
        </w:rPr>
        <w:t xml:space="preserve">в ленте новостей - не позднее 1 (Одного) дня;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color w:val="auto"/>
          <w:sz w:val="20"/>
          <w:szCs w:val="20"/>
        </w:rPr>
        <w:t xml:space="preserve">- </w:t>
      </w:r>
      <w:r w:rsidRPr="00AF22E8">
        <w:rPr>
          <w:rFonts w:ascii="Arial" w:hAnsi="Arial" w:cs="Arial"/>
          <w:b/>
          <w:bCs/>
          <w:i/>
          <w:iCs/>
          <w:color w:val="auto"/>
          <w:sz w:val="20"/>
          <w:szCs w:val="20"/>
        </w:rPr>
        <w:t xml:space="preserve">на странице  Эмитента в сети Интернет - не позднее 2 (Двух) дней;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При этом публикация на странице Эмитента в сети Интернет осуществляется после публикации в ленте новостей</w:t>
      </w:r>
      <w:r w:rsidRPr="00AF22E8">
        <w:rPr>
          <w:rFonts w:ascii="Arial" w:hAnsi="Arial" w:cs="Arial"/>
          <w:color w:val="auto"/>
          <w:sz w:val="20"/>
          <w:szCs w:val="20"/>
        </w:rPr>
        <w:t xml:space="preserve">. </w:t>
      </w:r>
    </w:p>
    <w:p w:rsidR="00713E6F" w:rsidRPr="00AF22E8" w:rsidRDefault="00713E6F" w:rsidP="00713E6F">
      <w:pPr>
        <w:pStyle w:val="Default"/>
        <w:ind w:firstLine="567"/>
        <w:jc w:val="both"/>
        <w:rPr>
          <w:rFonts w:ascii="Arial" w:hAnsi="Arial" w:cs="Arial"/>
          <w:b/>
          <w:bCs/>
          <w:i/>
          <w:iCs/>
          <w:color w:val="auto"/>
          <w:sz w:val="20"/>
          <w:szCs w:val="20"/>
        </w:rPr>
      </w:pP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4) Информация о прекращении у владельцев Биржевых облигаций права требовать от Эмитента досрочного погашения принадлежащих им Биржевых облигаций раскрывается Эмитентом в форме сообщения о существенном факте в следующие сроки с даты, в которую Эмитент узнал или должен был узнать о возникновении основания (наступлении события, совершении действия), повлекшего за собой прекращение у владельцев Биржевых облигаций Эмитента указанного права: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color w:val="auto"/>
          <w:sz w:val="20"/>
          <w:szCs w:val="20"/>
        </w:rPr>
        <w:t xml:space="preserve">- </w:t>
      </w:r>
      <w:r w:rsidRPr="00AF22E8">
        <w:rPr>
          <w:rFonts w:ascii="Arial" w:hAnsi="Arial" w:cs="Arial"/>
          <w:b/>
          <w:bCs/>
          <w:i/>
          <w:iCs/>
          <w:color w:val="auto"/>
          <w:sz w:val="20"/>
          <w:szCs w:val="20"/>
        </w:rPr>
        <w:t xml:space="preserve">в ленте новостей - не позднее 1 (Одного) дня;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color w:val="auto"/>
          <w:sz w:val="20"/>
          <w:szCs w:val="20"/>
        </w:rPr>
        <w:t xml:space="preserve">- </w:t>
      </w:r>
      <w:r w:rsidRPr="00AF22E8">
        <w:rPr>
          <w:rFonts w:ascii="Arial" w:hAnsi="Arial" w:cs="Arial"/>
          <w:b/>
          <w:bCs/>
          <w:i/>
          <w:iCs/>
          <w:color w:val="auto"/>
          <w:sz w:val="20"/>
          <w:szCs w:val="20"/>
        </w:rPr>
        <w:t xml:space="preserve">на странице Эмитента в сети Интернет </w:t>
      </w:r>
      <w:r w:rsidRPr="00AF22E8">
        <w:rPr>
          <w:rFonts w:ascii="Arial" w:hAnsi="Arial" w:cs="Arial"/>
          <w:color w:val="auto"/>
          <w:sz w:val="20"/>
          <w:szCs w:val="20"/>
        </w:rPr>
        <w:t xml:space="preserve">- </w:t>
      </w:r>
      <w:r w:rsidRPr="00AF22E8">
        <w:rPr>
          <w:rFonts w:ascii="Arial" w:hAnsi="Arial" w:cs="Arial"/>
          <w:b/>
          <w:bCs/>
          <w:i/>
          <w:iCs/>
          <w:color w:val="auto"/>
          <w:sz w:val="20"/>
          <w:szCs w:val="20"/>
        </w:rPr>
        <w:t xml:space="preserve">не позднее 2 (Двух) дней;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При этом публикация на странице Эмитента в сети Интернет осуществляется после публикации в ленте новостей</w:t>
      </w:r>
      <w:r w:rsidRPr="00AF22E8">
        <w:rPr>
          <w:rFonts w:ascii="Arial" w:hAnsi="Arial" w:cs="Arial"/>
          <w:color w:val="auto"/>
          <w:sz w:val="20"/>
          <w:szCs w:val="20"/>
        </w:rPr>
        <w:t xml:space="preserve">. </w:t>
      </w:r>
    </w:p>
    <w:p w:rsidR="00713E6F" w:rsidRPr="00AF22E8" w:rsidRDefault="00713E6F" w:rsidP="00713E6F">
      <w:pPr>
        <w:pStyle w:val="Default"/>
        <w:rPr>
          <w:color w:val="auto"/>
          <w:sz w:val="20"/>
          <w:szCs w:val="20"/>
        </w:rPr>
      </w:pPr>
    </w:p>
    <w:p w:rsidR="00713E6F" w:rsidRPr="00AF22E8" w:rsidRDefault="00713E6F" w:rsidP="00A06BCF">
      <w:pPr>
        <w:pStyle w:val="Default"/>
        <w:ind w:firstLine="567"/>
        <w:jc w:val="both"/>
        <w:rPr>
          <w:color w:val="auto"/>
          <w:sz w:val="20"/>
          <w:szCs w:val="20"/>
        </w:rPr>
      </w:pPr>
      <w:r w:rsidRPr="00AF22E8">
        <w:rPr>
          <w:color w:val="auto"/>
          <w:sz w:val="20"/>
          <w:szCs w:val="20"/>
        </w:rPr>
        <w:t xml:space="preserve">Порядок и (или) условия досрочного погашения Биржевых облигаций по требованию их владельцев: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При досрочном погашении Биржевых облигаций по требованию владельцев перевод Биржевых облигаций со счета депо, открытого в НРД владельцу Биржевых облигаций или его уполномоченному лицу на эмиссионный счет, открытый в НРД Эмитенту и перевод соответствующей суммы денежных средств с банковского счета, открытого в НРД Эмитенту или его уполномоченному лицу на банковский счет, открытый в НРД владельцу Биржевых облигаций или его уполномоченному лицу, осуществляется по правилам, установленным НРД для осуществления переводов ценных бумаг по встречным поручениям отправителя и получателя с контролем расчетов по денежным средствам.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Владельцы Биржевых облигаций соглашаются с тем, что взаиморасчеты при досрочном погашении Биржевых облигаций по требованию их владельцев осуществляются по правилам НРД для переводов ценных бумаг по встречным поручениям отправителя и получателя с контролем расчетов по денежным средствам. Для этих целей у владельца Биржевых облигаций, либо у лица, уполномоченного владельцем Биржевых облигаций получать суммы досрочного погашения по Биржевым облигациям, должен быть открыт банковский счет в НРД.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Порядок и сроки открытия банковского счета в НРД регулируются законодательством РФ, нормативными актами Банка России, а также условиями договора, заключенного с НРД.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При этом владельцы Биржевых облигаций - физические лица соглашаются с тем, что взаиморасчеты при досрочном погашении Биржевых облигаций по требованию их владельцев осуществляются исключительно через банковский счет юридического лица, уполномоченного владельцем Биржевых облигаций - физическим лицом получать суммы досрочного погашения по Биржевым облигациям.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Владелец Биржевых облигаций либо лицо, уполномоченное владельцем совершать действия, направленные на досрочное погашение Биржевых облигаций представляет Эмитенту письменное Требование (заявление) о досрочном погашении Биржевых облигаций с приложением следующих документов: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 копия выписки по счету депо владельца Биржевых облигаций,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 документов, подтверждающих полномочия лиц, подписавших требование (заявление) от имени владельца Биржевых облигаций (в случае предъявления требования уполномоченным владельцем Биржевых облигаций лицом).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Требование (заявление) о досрочном погашении Биржевых облигаций должно содержать наименование события, давшее право владельцу Биржевых облигаций на досрочное погашение, а также: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а) полное наименование (Ф.И.О. владельца - для физического лица) владельца Биржевых облигаций и лица, уполномоченного владельцем Биржевых облигаций получать суммы досрочного погашения по Биржевым облигациям;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б) количество Биржевых облигаций, учитываемых на счете депо владельца Биржевых облигаций или его уполномоченного лица, а также количество Биржевых облигаций, в отношении которых заявляется требование о досрочном погашении;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в) место нахождения и почтовый адрес лица, направившего Требование (заявление) о досрочном погашении Биржевых облигаций;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г) реквизиты банковского счёта лица, уполномоченного получать суммы досрочного погашения по Биржевым облигациям (реквизиты банковского счета указываются по правилам НРД для переводов ценных бумаг по встречным поручениям с контролем расчетов по денежным средствам);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д) идентификационный номер налогоплательщика (ИНН) лица, уполномоченного получать суммы погашения по Биржевым облигациям;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е) налоговый статус владельца Биржевых облигаций, а также лица, уполномоченного получать суммы досрочного погашения по Биржевым облигациям (физическое лицо, являющееся резидентом Российской Федерации, физическое лицо, не являющееся резидентом Российской Федерации, российские организации, иностранные организации, осуществляющие свою деятельность в Российской Федерации через постоянные представительства и (или) получающие доходы от источников в Российской Федерации и т.д.);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ж) код причины постановки на учет (КПП) лица, уполномоченного получать суммы досрочного погашения по Биржевым облигациям;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з) код ОКПО;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и) код ОКВЭД;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к) БИК (для кредитных организаций);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л) реквизиты счета депо, открытого в НРД владельцу Биржевых облигаций или его уполномоченному лицу, необходимые для перевода Биржевых облигаций по встречным поручениям с контролем расчетов по денежным средствам, по правилам, установленным НРД. </w:t>
      </w:r>
    </w:p>
    <w:p w:rsidR="00713E6F" w:rsidRPr="00AF22E8" w:rsidRDefault="00713E6F" w:rsidP="00713E6F">
      <w:pPr>
        <w:pStyle w:val="Default"/>
        <w:ind w:firstLine="567"/>
        <w:jc w:val="both"/>
        <w:rPr>
          <w:rFonts w:ascii="Arial" w:hAnsi="Arial" w:cs="Arial"/>
          <w:b/>
          <w:bCs/>
          <w:i/>
          <w:iCs/>
          <w:color w:val="auto"/>
          <w:sz w:val="20"/>
          <w:szCs w:val="20"/>
        </w:rPr>
      </w:pPr>
      <w:r w:rsidRPr="00AF22E8">
        <w:rPr>
          <w:rFonts w:ascii="Arial" w:hAnsi="Arial" w:cs="Arial"/>
          <w:b/>
          <w:bCs/>
          <w:i/>
          <w:iCs/>
          <w:color w:val="auto"/>
          <w:sz w:val="20"/>
          <w:szCs w:val="20"/>
        </w:rPr>
        <w:t xml:space="preserve">В том случае, если владелец Биржевых облигаций является иностранной организацией, осуществляющей свою деятельность в Российской Федерации через постоянные представительства и (или) получающие доходы от источников в Российской Федерации, или или физическим лицом, не являющимся налоговым резидентом Российской Федерации, то в Требовании (заявлении) о досрочном погашении Биржевых облигаций необходимо дополнительно указать следующую информацию: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 место нахождения иностранной организации (местожительства - для физических лиц) и почтовый адрес, включая почтовый индекс, владельца Биржевых облигаций;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 идентификационный номер налогоплательщика (ИНН) владельца Биржевых облигаций при его наличии;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В случае если владельцем Биржевых облигаций является иностранная организация: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 код иностранной организации (КИО) - при наличии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В случае если владельцем Биржевых облигаций является физическое лицо: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 вид, номер, дата и место выдачи документа, удостоверяющего личность владельца Биржевых облигаций,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 наименование органа, выдавшего документ;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 число, месяц и год рождения владельца Биржевых облигаций. </w:t>
      </w:r>
    </w:p>
    <w:p w:rsidR="00713E6F" w:rsidRPr="00AF22E8" w:rsidRDefault="00713E6F" w:rsidP="00713E6F">
      <w:pPr>
        <w:pStyle w:val="Default"/>
        <w:ind w:firstLine="567"/>
        <w:jc w:val="both"/>
        <w:rPr>
          <w:rFonts w:ascii="Arial" w:hAnsi="Arial" w:cs="Arial"/>
          <w:b/>
          <w:bCs/>
          <w:i/>
          <w:iCs/>
          <w:color w:val="auto"/>
          <w:sz w:val="20"/>
          <w:szCs w:val="20"/>
        </w:rPr>
      </w:pPr>
      <w:r w:rsidRPr="00AF22E8">
        <w:rPr>
          <w:rFonts w:ascii="Arial" w:hAnsi="Arial" w:cs="Arial"/>
          <w:b/>
          <w:bCs/>
          <w:i/>
          <w:iCs/>
          <w:color w:val="auto"/>
          <w:sz w:val="20"/>
          <w:szCs w:val="20"/>
        </w:rPr>
        <w:t>Дополнительно к Требованию (заявлению), к информации относительно физических лиц, не являющихся резидентами Российской Федерации и иностранных организаций, осуществляющих свою деятельность в Российской Федерации через постоянные представительства и (или) получающих доходы от источников в Российской Федерации,  , являющихся владельцами Биржевых облигаций, владелец Биржевых облигаций либо лицо, уполномоченное владельцем совершать действия, направленные на досрочное погашение Биржевых облигаций, предварительно запросив у владельца Биржевых облигаций, обязан передать Эмитенту документы, необходимые для применения налогового законодательства и международных договоров и соглашений об избежании двойного налогообложения доходов, полученных по Биржевым облигациям.</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Лица, являющиеся владельцами Биржевых облигаций, а также лица, имеющие фактическое право на доход, выплачиваемый по Биржевым облигациям, также должны представить иные документы, необходимые в соответствии с законодательством Российской Федерации и международными договорами. Исчерпывающий перечень таких документов, а также информация о категориях лиц, в отношении которых предоставляются такие документы, будет раскрыт Эмитентом не позднее раскрытия информации о возникновении у владельцев Биржевых облигаций права требовать от Эмитента досрочного погашения принадлежащих им Биржевых облигаций</w:t>
      </w:r>
      <w:r w:rsidRPr="00AF22E8">
        <w:rPr>
          <w:rFonts w:ascii="Arial" w:hAnsi="Arial" w:cs="Arial"/>
          <w:sz w:val="20"/>
          <w:szCs w:val="20"/>
        </w:rPr>
        <w:t xml:space="preserve"> </w:t>
      </w:r>
      <w:r w:rsidRPr="00AF22E8">
        <w:rPr>
          <w:rFonts w:ascii="Arial" w:hAnsi="Arial" w:cs="Arial"/>
          <w:b/>
          <w:bCs/>
          <w:i/>
          <w:iCs/>
          <w:color w:val="auto"/>
          <w:sz w:val="20"/>
          <w:szCs w:val="20"/>
        </w:rPr>
        <w:t>в порядке, предусмотренном п. 11 Программы биржевых облигаций и п. 8.11. раздела VIII Проспекта ценных бумаг</w:t>
      </w:r>
      <w:r w:rsidRPr="00AF22E8">
        <w:rPr>
          <w:rStyle w:val="af1"/>
          <w:rFonts w:ascii="Arial" w:hAnsi="Arial" w:cs="Arial"/>
          <w:b/>
          <w:bCs/>
          <w:i/>
          <w:iCs/>
          <w:color w:val="auto"/>
          <w:sz w:val="20"/>
          <w:szCs w:val="20"/>
        </w:rPr>
        <w:footnoteReference w:id="8"/>
      </w:r>
      <w:r w:rsidRPr="00AF22E8">
        <w:rPr>
          <w:rFonts w:ascii="Arial" w:hAnsi="Arial" w:cs="Arial"/>
          <w:b/>
          <w:bCs/>
          <w:i/>
          <w:iCs/>
          <w:color w:val="auto"/>
          <w:sz w:val="20"/>
          <w:szCs w:val="20"/>
        </w:rPr>
        <w:t xml:space="preserve">.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В случае непредставления или несвоевременного предоставления указанных документов Эмитент не несет ответственности перед владельцами за неприменение соответствующих ставок налогообложения. В случае удержания налога с выплаченного дохода без применения пониженных ставок (освобождений от налогообложения), предусмотренных международным договором Российской Федерации по вопросам налогообложения, сумма такого налога признается суммой излишне уплаченного налога, а лицо, имеющее фактическое право на получение этого дохода, вправе обратиться за зачетом (возвратом) этого налога в порядке, установленном налоговым законодательством.</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Требование (заявление), содержащее положения о выплате наличных денег, не удовлетворяется.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Эмитент не несет обязательств по досрочному погашению Биржевых облигаций по отношению: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 к лицам, не представившим в указанный срок свои Требования (заявления);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 к лицам, представившим Требование (заявление), не соответствующее установленным требованиям.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В течение 2 (Двух) рабочих дней с даты получения вышеуказанных документов Эмитент осуществляет их проверку (далее – срок рассмотрения Требования (заявления)).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Эмитент не позднее, чем в 1 (Один) рабочий день с даты истечения срока рассмотрения Требования (заявления) о досрочном погашении Биржевых облигаций письменно уведомляет о принятом решении об удовлетворении либо об отказе в удовлетворении (с указанием оснований) Требования (заявления) владельца Биржевых облигаций или лица, уполномоченного владельцем совершать действия, направленные на досрочное погашение Биржевых облигаций, направившего Требование (заявление) о досрочном погашении Биржевых облигаций.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Получение уведомления об отказе в удовлетворении Требования (заявления) о досрочном погашении Биржевых облигаций не лишает владельца Биржевых облигаций права обратиться с Требованиями (заявлениями) о досрочном погашении Биржевых облигаций повторно.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В случае принятия решения Эмитентом об удовлетворении Требования о досрочном погашении Биржевых облигаций, перевод Биржевых облигаций со счета депо, открытого в НРД владельцу Биржевых облигаций или его уполномоченному лицу на эмиссионный счет Эмитента, открытый в НРД, осуществляется по встречным поручениям с контролем расчетов по денежным средствам.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Для осуществления указанного перевода Эмитент не позднее, чем в 1 (Один) рабочий день с даты истечения срока рассмотрения Требования (заявления) о досрочном погашении Биржевых облигаций письменно уведомляет о принятом решении владельца Биржевых облигаций или лица, уполномоченного владельцем совершать действия, направленные на досрочное погашение Биржевых облигаций, направившего Требование (заявление) о досрочном погашении Биржевых облигаций, и указывает в Уведомлении об удовлетворении Требования (заявления) реквизиты, необходимые для заполнения поручения депо по форме, установленной для перевода Биржевых облигаций с контролем расчетов по денежным средствам.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После направления таких уведомлений, Эмитент подает в НРД встречное поручение депо на перевод Биржевых облигаций (по форме, установленной для перевода ценных бумаг с контролем расчетов по денежным средствам) со счета депо, открытого в НРД владельцу Биржевых облигаций или его уполномоченному лицу, на свой эмиссионный счет, в соответствии с реквизитами, указанными в Требовании (заявлении) о досрочном погашении Биржевых облигаций, а также Эмитент или его уполномоченное лицо подает в НРД поручение на перевод денежных средств со своего банковского счета на банковский счет владельца Биржевых облигаций или его уполномоченного лица, реквизиты которого указаны в соответствующем Требовании (заявлении) о досрочном погашении Биржевых облигаций.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Владелец Биржевых облигаций или его уполномоченное лицо после получения уведомления об удовлетворении Требования подает в НРД поручение по форме, установленной для перевода ценных бумаг с контролем расчетов по денежным средствам на перевод Биржевых облигаций со своего счета депо в НРД на эмиссионный счет Эмитента в соответствии с реквизитами, указанными в Уведомлении об удовлетворении Требования (заявления) о досрочном погашении Биржевых облигаций.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В поручениях депо на перевод ценных бумаг с контролем расчетов по денежным средствам и в платежном поручении на перевод денежных средств стороны должны указать одинаковую дату исполнения в пределах установленного действующим законодательством срока исполнения Эмитентом обязательства по досрочному погашению.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Досрочное погашение осуществляется в отношении всех поступивших Требований (заявлений) о досрочном погашении Биржевых облигаций, удовлетворяющих требованиям, указанным выше в данном пункте.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Биржевые облигации, погашенные Эмитентом досрочно, не могут быть выпущены в обращение. </w:t>
      </w:r>
    </w:p>
    <w:p w:rsidR="00713E6F" w:rsidRPr="00AF22E8" w:rsidRDefault="00713E6F" w:rsidP="00713E6F">
      <w:pPr>
        <w:pStyle w:val="Default"/>
        <w:ind w:firstLine="567"/>
        <w:rPr>
          <w:color w:val="auto"/>
          <w:sz w:val="20"/>
          <w:szCs w:val="20"/>
        </w:rPr>
      </w:pPr>
    </w:p>
    <w:p w:rsidR="00713E6F" w:rsidRPr="00AF22E8" w:rsidRDefault="00713E6F" w:rsidP="00713E6F">
      <w:pPr>
        <w:pStyle w:val="Default"/>
        <w:ind w:firstLine="567"/>
        <w:jc w:val="both"/>
        <w:rPr>
          <w:color w:val="auto"/>
          <w:sz w:val="20"/>
          <w:szCs w:val="20"/>
        </w:rPr>
      </w:pPr>
      <w:r w:rsidRPr="00AF22E8">
        <w:rPr>
          <w:color w:val="auto"/>
          <w:sz w:val="20"/>
          <w:szCs w:val="20"/>
        </w:rPr>
        <w:t xml:space="preserve">Иные условия досрочного погашения облигаций: </w:t>
      </w:r>
    </w:p>
    <w:p w:rsidR="00A06BCF" w:rsidRDefault="00A06BCF" w:rsidP="00713E6F">
      <w:pPr>
        <w:pStyle w:val="Default"/>
        <w:ind w:firstLine="567"/>
        <w:jc w:val="both"/>
        <w:rPr>
          <w:rFonts w:ascii="Arial" w:hAnsi="Arial" w:cs="Arial"/>
          <w:b/>
          <w:bCs/>
          <w:i/>
          <w:iCs/>
          <w:color w:val="auto"/>
          <w:sz w:val="20"/>
          <w:szCs w:val="20"/>
        </w:rPr>
      </w:pP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Вне зависимости от вышеизложенного, в случае существенного нарушения условий исполнения обязательств по Биржевым облигациям согласно пункту 5 статьи 17.1 Федерального закона «О рынке ценных бумаг», а также в иных случаях, предусмотренных федеральными законами, владельцы имеют право требовать досрочного погашения Биржевых облигаций до наступления срока их погашения независимо от указания такого права в условиях выпуска Биржевых облигаций. </w:t>
      </w:r>
    </w:p>
    <w:p w:rsidR="00713E6F" w:rsidRPr="00AF22E8" w:rsidRDefault="00713E6F" w:rsidP="00713E6F">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Если иной срок не предусмотрен федеральными законами, владельцы вправе предъявлять требования о досрочном погашении Биржевых облигаций с момента наступления обстоятельств (событий), с которыми федеральные законы связывают возникновение указанного права, а если такое право возникает в случае существенного нарушения условий исполнения обязательств по облигациям, - с момента наступления обстоятельств, предусмотренных пунктом 5 статьи 17.1 Федерального закона «О рынке ценных бумаг», до даты раскрытия Эмитентом и (или) представителем владельцев Биржевых облигаций (в случае его назначения) информации об устранении нарушения. </w:t>
      </w:r>
    </w:p>
    <w:p w:rsidR="00713E6F" w:rsidRPr="00AF22E8" w:rsidRDefault="00713E6F" w:rsidP="00713E6F">
      <w:pPr>
        <w:pStyle w:val="Default"/>
        <w:ind w:firstLine="567"/>
        <w:jc w:val="both"/>
        <w:rPr>
          <w:rFonts w:ascii="Arial" w:hAnsi="Arial" w:cs="Arial"/>
          <w:b/>
          <w:bCs/>
          <w:i/>
          <w:iCs/>
          <w:color w:val="auto"/>
          <w:sz w:val="20"/>
          <w:szCs w:val="20"/>
        </w:rPr>
      </w:pPr>
      <w:r w:rsidRPr="00AF22E8">
        <w:rPr>
          <w:rFonts w:ascii="Arial" w:hAnsi="Arial" w:cs="Arial"/>
          <w:b/>
          <w:bCs/>
          <w:i/>
          <w:iCs/>
          <w:color w:val="auto"/>
          <w:sz w:val="20"/>
          <w:szCs w:val="20"/>
        </w:rPr>
        <w:t>Эмитент обязан погасить Биржевые облигации, предъявленные к досрочному погашению в случае существенного нарушения условий исполнения обязательств по ним, а также в иных случаях, предусмотренных федеральными законами, не позднее 7 (Семи) рабочих дней с даты получения соответствующего требования. В случае принятия общим собранием владельцев Биржевых облигаций решения об отказе от права требовать досрочного погашения Биржевых облигаций досрочное погашение Биржевых облигаций по требованию владельцев не осуществляется.</w:t>
      </w:r>
    </w:p>
    <w:p w:rsidR="00713E6F" w:rsidRPr="00713E6F" w:rsidRDefault="00713E6F" w:rsidP="00713E6F">
      <w:pPr>
        <w:pStyle w:val="Default"/>
        <w:ind w:firstLine="567"/>
        <w:jc w:val="both"/>
        <w:rPr>
          <w:rFonts w:ascii="Arial" w:hAnsi="Arial" w:cs="Arial"/>
          <w:color w:val="auto"/>
          <w:sz w:val="20"/>
          <w:szCs w:val="20"/>
        </w:rPr>
      </w:pPr>
    </w:p>
    <w:p w:rsidR="00AF22E8" w:rsidRPr="00A06BCF" w:rsidRDefault="00AF22E8" w:rsidP="00A06BCF">
      <w:pPr>
        <w:pStyle w:val="Default"/>
        <w:ind w:firstLine="567"/>
        <w:rPr>
          <w:color w:val="auto"/>
          <w:sz w:val="20"/>
          <w:szCs w:val="20"/>
          <w:u w:val="single"/>
        </w:rPr>
      </w:pPr>
      <w:r w:rsidRPr="00A06BCF">
        <w:rPr>
          <w:color w:val="auto"/>
          <w:sz w:val="20"/>
          <w:szCs w:val="20"/>
          <w:u w:val="single"/>
        </w:rPr>
        <w:t xml:space="preserve">Досрочное погашение облигаций по усмотрению эмитента. </w:t>
      </w:r>
    </w:p>
    <w:p w:rsidR="00AF22E8" w:rsidRPr="00AF22E8" w:rsidRDefault="00AF22E8" w:rsidP="00AF22E8">
      <w:pPr>
        <w:pStyle w:val="Default"/>
        <w:ind w:firstLine="567"/>
        <w:jc w:val="both"/>
        <w:rPr>
          <w:b/>
          <w:bCs/>
          <w:i/>
          <w:iCs/>
          <w:color w:val="auto"/>
          <w:sz w:val="20"/>
          <w:szCs w:val="20"/>
        </w:rPr>
      </w:pP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Досрочное погашение Биржевых облигаций по усмотрению Эмитента осуществляется в отношении всех Биржевых облигаций выпуска. </w:t>
      </w:r>
    </w:p>
    <w:p w:rsidR="00AF22E8" w:rsidRPr="00AF22E8" w:rsidRDefault="00AF22E8" w:rsidP="00AF22E8">
      <w:pPr>
        <w:pStyle w:val="Default"/>
        <w:ind w:firstLine="567"/>
        <w:jc w:val="both"/>
        <w:rPr>
          <w:rFonts w:ascii="Arial" w:hAnsi="Arial" w:cs="Arial"/>
          <w:b/>
          <w:bCs/>
          <w:i/>
          <w:iCs/>
          <w:color w:val="auto"/>
          <w:sz w:val="20"/>
          <w:szCs w:val="20"/>
        </w:rPr>
      </w:pPr>
      <w:r w:rsidRPr="00AF22E8">
        <w:rPr>
          <w:rFonts w:ascii="Arial" w:hAnsi="Arial" w:cs="Arial"/>
          <w:b/>
          <w:bCs/>
          <w:i/>
          <w:iCs/>
          <w:color w:val="auto"/>
          <w:sz w:val="20"/>
          <w:szCs w:val="20"/>
        </w:rPr>
        <w:t xml:space="preserve">Предусматривается возможность досрочного погашения Биржевых облигаций отдельного выпуска по усмотрению Эмитента. </w:t>
      </w:r>
    </w:p>
    <w:p w:rsidR="00AF22E8" w:rsidRPr="00AF22E8" w:rsidRDefault="00AF22E8" w:rsidP="00AF22E8">
      <w:pPr>
        <w:pStyle w:val="Default"/>
        <w:ind w:firstLine="567"/>
        <w:jc w:val="both"/>
        <w:rPr>
          <w:rFonts w:ascii="Arial" w:hAnsi="Arial" w:cs="Arial"/>
          <w:b/>
          <w:bCs/>
          <w:i/>
          <w:iCs/>
          <w:color w:val="auto"/>
          <w:sz w:val="20"/>
          <w:szCs w:val="20"/>
        </w:rPr>
      </w:pPr>
    </w:p>
    <w:p w:rsidR="00AF22E8" w:rsidRPr="00AF22E8" w:rsidRDefault="00AF22E8" w:rsidP="00AF22E8">
      <w:pPr>
        <w:pStyle w:val="Default"/>
        <w:ind w:firstLine="567"/>
        <w:jc w:val="both"/>
        <w:rPr>
          <w:rFonts w:ascii="Arial" w:hAnsi="Arial" w:cs="Arial"/>
          <w:b/>
          <w:bCs/>
          <w:i/>
          <w:iCs/>
          <w:color w:val="auto"/>
          <w:sz w:val="20"/>
          <w:szCs w:val="20"/>
          <w:u w:val="single"/>
        </w:rPr>
      </w:pPr>
      <w:r w:rsidRPr="00AF22E8">
        <w:rPr>
          <w:rFonts w:ascii="Arial" w:hAnsi="Arial" w:cs="Arial"/>
          <w:b/>
          <w:bCs/>
          <w:i/>
          <w:iCs/>
          <w:color w:val="auto"/>
          <w:sz w:val="20"/>
          <w:szCs w:val="20"/>
          <w:u w:val="single"/>
        </w:rPr>
        <w:t xml:space="preserve">В Условиях выпуска также могут быть установлены дополнительные к случаям, указанным в настоящем пункте Программы биржевых облигаций, случаи досрочного погашения по усмотрению Эмитента. </w:t>
      </w:r>
    </w:p>
    <w:p w:rsidR="00AF22E8" w:rsidRPr="00AF22E8" w:rsidRDefault="00AF22E8" w:rsidP="00AF22E8">
      <w:pPr>
        <w:pStyle w:val="Default"/>
        <w:ind w:firstLine="567"/>
        <w:jc w:val="both"/>
        <w:rPr>
          <w:rFonts w:ascii="Arial" w:hAnsi="Arial" w:cs="Arial"/>
          <w:color w:val="auto"/>
          <w:sz w:val="20"/>
          <w:szCs w:val="20"/>
        </w:rPr>
      </w:pPr>
    </w:p>
    <w:p w:rsidR="00AF22E8" w:rsidRPr="00AF22E8" w:rsidRDefault="00AF22E8" w:rsidP="00AF22E8">
      <w:pPr>
        <w:pStyle w:val="Default"/>
        <w:ind w:firstLine="567"/>
        <w:jc w:val="both"/>
        <w:rPr>
          <w:rFonts w:ascii="Arial" w:hAnsi="Arial" w:cs="Arial"/>
          <w:b/>
          <w:bCs/>
          <w:i/>
          <w:iCs/>
          <w:color w:val="auto"/>
          <w:sz w:val="20"/>
          <w:szCs w:val="20"/>
        </w:rPr>
      </w:pPr>
      <w:r w:rsidRPr="00AF22E8">
        <w:rPr>
          <w:rFonts w:ascii="Arial" w:hAnsi="Arial" w:cs="Arial"/>
          <w:b/>
          <w:bCs/>
          <w:i/>
          <w:iCs/>
          <w:color w:val="auto"/>
          <w:sz w:val="20"/>
          <w:szCs w:val="20"/>
        </w:rPr>
        <w:t xml:space="preserve">А) Возможность досрочного погашения Биржевых облигаций в течение периода их обращения по усмотрению Эмитента может быть утверждена решением единоличного исполнительного органа Эмитента до даты начала размещения Биржевых облигаций. При этом, в случае если Эмитентом принято решение о возможности досрочного погашения Биржевых облигаций по его усмотрению, Эмитент в таком решении определяет порядковый номер купонного периода, в дату окончания которого возможно досрочное погашение Биржевых облигаций по усмотрению Эмитента. Данное решение принимается единоличным исполнительным органом Эмитента.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О принятии решения о возможности досрочного погашения Биржевых облигаций Эмитент уведомляет Биржу и НРД в дату принятия соответствующего решения. </w:t>
      </w:r>
    </w:p>
    <w:p w:rsidR="00AF22E8" w:rsidRPr="00AF22E8" w:rsidRDefault="00AF22E8" w:rsidP="00AF22E8">
      <w:pPr>
        <w:pStyle w:val="Default"/>
        <w:ind w:firstLine="567"/>
        <w:jc w:val="both"/>
        <w:rPr>
          <w:rFonts w:ascii="Arial" w:hAnsi="Arial" w:cs="Arial"/>
          <w:color w:val="auto"/>
          <w:sz w:val="20"/>
          <w:szCs w:val="20"/>
        </w:rPr>
      </w:pPr>
    </w:p>
    <w:p w:rsidR="00AF22E8" w:rsidRPr="00AF22E8" w:rsidRDefault="00AF22E8" w:rsidP="00AF22E8">
      <w:pPr>
        <w:pStyle w:val="Default"/>
        <w:ind w:firstLine="567"/>
        <w:jc w:val="both"/>
        <w:rPr>
          <w:rFonts w:ascii="Arial" w:hAnsi="Arial" w:cs="Arial"/>
          <w:b/>
          <w:bCs/>
          <w:i/>
          <w:iCs/>
          <w:color w:val="auto"/>
          <w:sz w:val="20"/>
          <w:szCs w:val="20"/>
        </w:rPr>
      </w:pPr>
      <w:r w:rsidRPr="00AF22E8">
        <w:rPr>
          <w:rFonts w:ascii="Arial" w:hAnsi="Arial" w:cs="Arial"/>
          <w:b/>
          <w:bCs/>
          <w:i/>
          <w:iCs/>
          <w:color w:val="auto"/>
          <w:sz w:val="20"/>
          <w:szCs w:val="20"/>
        </w:rPr>
        <w:t xml:space="preserve">В случае принятия решения о возможности досрочного погашения Биржевых облигаций по усмотрению Эмитента приобретение Биржевых облигаций будет означать согласие приобретателя Биржевых облигаций с возможностью их досрочного погашения по усмотрению Эмитента. </w:t>
      </w:r>
    </w:p>
    <w:p w:rsidR="00AF22E8" w:rsidRPr="00AF22E8" w:rsidRDefault="00AF22E8" w:rsidP="00AF22E8">
      <w:pPr>
        <w:pStyle w:val="Default"/>
        <w:jc w:val="both"/>
        <w:rPr>
          <w:b/>
          <w:bCs/>
          <w:i/>
          <w:iCs/>
          <w:color w:val="auto"/>
          <w:sz w:val="20"/>
          <w:szCs w:val="20"/>
        </w:rPr>
      </w:pPr>
    </w:p>
    <w:p w:rsidR="00AF22E8" w:rsidRPr="00AF22E8" w:rsidRDefault="00AF22E8" w:rsidP="00A06BCF">
      <w:pPr>
        <w:pStyle w:val="Default"/>
        <w:ind w:firstLine="567"/>
        <w:jc w:val="both"/>
        <w:rPr>
          <w:color w:val="auto"/>
          <w:sz w:val="20"/>
          <w:szCs w:val="20"/>
        </w:rPr>
      </w:pPr>
      <w:r w:rsidRPr="00AF22E8">
        <w:rPr>
          <w:color w:val="auto"/>
          <w:sz w:val="20"/>
          <w:szCs w:val="20"/>
        </w:rPr>
        <w:t xml:space="preserve">Стоимость (порядок определения стоимости) досрочного погашения облигаций по усмотрению эмитента: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Биржевые облигации досрочно погашаются по непогашенной части номинальной стоимости. При этом выплачивается купонный доход по купонному периоду, в дату окончания которого осуществляется досрочное погашение Биржевых облигаций. </w:t>
      </w:r>
    </w:p>
    <w:p w:rsidR="00AF22E8" w:rsidRPr="00AF22E8" w:rsidRDefault="00AF22E8" w:rsidP="00AF22E8">
      <w:pPr>
        <w:pStyle w:val="ConsPlusNormal"/>
        <w:jc w:val="both"/>
        <w:rPr>
          <w:rFonts w:ascii="Times New Roman" w:hAnsi="Times New Roman" w:cs="Times New Roman"/>
          <w:b/>
          <w:bCs/>
        </w:rPr>
      </w:pPr>
    </w:p>
    <w:p w:rsidR="00AF22E8" w:rsidRPr="00AF22E8" w:rsidRDefault="00AF22E8" w:rsidP="00A06BCF">
      <w:pPr>
        <w:pStyle w:val="ConsPlusNormal"/>
        <w:ind w:firstLine="567"/>
        <w:jc w:val="both"/>
        <w:rPr>
          <w:rFonts w:ascii="Times New Roman" w:hAnsi="Times New Roman" w:cs="Times New Roman"/>
          <w:b/>
          <w:bCs/>
        </w:rPr>
      </w:pPr>
      <w:r w:rsidRPr="00AF22E8">
        <w:rPr>
          <w:rFonts w:ascii="Times New Roman" w:hAnsi="Times New Roman" w:cs="Times New Roman"/>
        </w:rPr>
        <w:t>Срок (порядок определения срока), в течение которого облигации могут быть досрочно погашены эмитентом:</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Досрочное погашение Биржевых облигаций допускается только после полной оплаты Биржевых облигаций.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В случае принятия Эмитентом решения о возможности досрочном погашении по усмотрению Эмитента Биржевые облигации будут досрочно погашены в дату окончания купонного периода, определенного Эмитентом в решении Эмитента о возможности досрочного погашения Биржевых облигаций по усмотрению Эмитента. </w:t>
      </w:r>
    </w:p>
    <w:p w:rsidR="00AF22E8" w:rsidRPr="00AF22E8" w:rsidRDefault="00AF22E8" w:rsidP="00AF22E8">
      <w:pPr>
        <w:pStyle w:val="Default"/>
        <w:rPr>
          <w:color w:val="auto"/>
          <w:sz w:val="20"/>
          <w:szCs w:val="20"/>
        </w:rPr>
      </w:pPr>
    </w:p>
    <w:p w:rsidR="00AF22E8" w:rsidRPr="00AF22E8" w:rsidRDefault="00AF22E8" w:rsidP="00A06BCF">
      <w:pPr>
        <w:pStyle w:val="Default"/>
        <w:ind w:firstLine="567"/>
        <w:jc w:val="both"/>
        <w:rPr>
          <w:color w:val="auto"/>
          <w:sz w:val="20"/>
          <w:szCs w:val="20"/>
        </w:rPr>
      </w:pPr>
      <w:r w:rsidRPr="00AF22E8">
        <w:rPr>
          <w:color w:val="auto"/>
          <w:sz w:val="20"/>
          <w:szCs w:val="20"/>
        </w:rPr>
        <w:t xml:space="preserve">Порядок и (или) условия досрочного погашения облигаций по усмотрению эмитента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В случае принятия решения о возможности досрочного погашения Биржевых облигаций по усмотрению Эмитента, Эмитент может принять решение о досрочном погашении Биржевых облигаций не позднее, чем за 14 (Четырнадцать) дней до даты окончания купонного периода, определенного в решении Эмитента о возможности досрочного погашения Биржевых облигаций по усмотрению Эмитента (далее – Дата досрочного погашения).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В случае если Эмитентом не позднее чем за 14 (Четырнадцать) дней до даты окончания купонного периода, определенного в решении Эмитента о возможности досрочного погашения Биржевых облигаций по усмотрению Эмитента, не принято и не раскрыто решение о досрочном погашении Биржевых облигаций, то считается, что возможность досрочного погашения по усмотрению Эмитента, установленная п. 9.5.2.(А) Программы биржевых облигаций, Эмитентом не используется, и Эмитент не вправе досрочно погасить Биржевые облигации в соответствии с п. 9.5.2.(А) Программы биржевых облигаций.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О досрочном погашении Биржевых облигаций Эмитент уведомляет Биржу и НРД в дату принятия соответствующего решения.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Досрочное погашение Биржевых облигаций производится денежными средствами в безналичном порядке в валюте Российской Федерации. Возможность выбора владельцами Биржевых облигаций формы погашения Биржевых облигаций не предусмотрена.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Выплата непогашенной части номинальной стоимости и купонного дохода Биржевых облигаций при их досрочном погашении производится в валюте Российской Федерации в безналичном порядке.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Досрочное погашение Биржевых облигаций производится в соответствии с порядком, установленным требованиями действующего законодательства Российской Федерации.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Владельцы и иные лица, осуществляющие в соответствии с федеральными законами права по Биржевым облигациям, получают причитающиеся им денежные выплаты в счет досрочного погашения Биржевых облигаций через депозитарий, осуществляющий учет прав на ценные бумаги, депонентами которого они являются. Депозитарный договор между депозитарием, осуществляющим учет прав на ценные бумаги, и депонентом должен содержать порядок передачи депоненту денежных выплат по ценным бумагам.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Эмитент исполняет обязанность по осуществлению денежных в счет досрочного погашения ценных бумаг путем перечисления денежных средств НРД. Указанная обязанность считается исполненной эмитентом с даты поступления денежных средств на счет НРД.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Если дата досрочного погашения Биржевых облигаций приходится на нерабочий праздничный или выходной день - независимо от того, будет ли это государственный выходной день или выходной день для расчетных операций, - то перечисление надлежащей суммы производится в первый рабочий день, следующий за нерабочим праздничным или выходным днем. Владелец Биржевой облигации не имеет права требовать начисления процентов или какой-либо иной компенсации за такую задержку в платеже.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Списание Биржевых облигаций со счетов депо при досрочном погашении производится после исполнения Эмитентом всех обязательств перед владельцами Биржевых облигаций по погашению номинальной стоимости Биржевых облигаций и выплате купонного дохода по ним. Снятие Сертификата с хранения производится после списания всех Биржевых облигаций со счетов в НРД.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Биржевые облигации, погашенные Эмитентом досрочно, не могут быть выпущены в обращение. </w:t>
      </w:r>
    </w:p>
    <w:p w:rsidR="00AF22E8" w:rsidRPr="00AF22E8" w:rsidRDefault="00AF22E8" w:rsidP="00AF22E8">
      <w:pPr>
        <w:pStyle w:val="Default"/>
        <w:rPr>
          <w:color w:val="auto"/>
          <w:sz w:val="20"/>
          <w:szCs w:val="20"/>
        </w:rPr>
      </w:pPr>
    </w:p>
    <w:p w:rsidR="00AF22E8" w:rsidRPr="00AF22E8" w:rsidRDefault="00AF22E8" w:rsidP="00A06BCF">
      <w:pPr>
        <w:pStyle w:val="Default"/>
        <w:ind w:firstLine="567"/>
        <w:jc w:val="both"/>
        <w:rPr>
          <w:color w:val="auto"/>
          <w:sz w:val="20"/>
          <w:szCs w:val="20"/>
        </w:rPr>
      </w:pPr>
      <w:r w:rsidRPr="00AF22E8">
        <w:rPr>
          <w:color w:val="auto"/>
          <w:sz w:val="20"/>
          <w:szCs w:val="20"/>
        </w:rPr>
        <w:t xml:space="preserve">Порядок раскрытия эмитентом информации об условиях и итогах досрочного погашения облигаций по усмотрению эмитента: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1) Сообщение о принятии Эмитентом решения о возможности досрочного погашения Биржевых облигаций по усмотрению Эмитента раскрывается в форме сообщения о существенном факте в соответствии с порядком, указанным в п. 11 Программы биржевых облигаций и п. 8.11. раздела VIII Проспекта ценных бумаг.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О принятом решении о возможности досрочного погашения Эмитент уведомляет Биржу и НРД не позднее, чем за 1(один) день до даты начала размещения. </w:t>
      </w:r>
    </w:p>
    <w:p w:rsidR="00AF22E8" w:rsidRPr="00AF22E8" w:rsidRDefault="00AF22E8" w:rsidP="00AF22E8">
      <w:pPr>
        <w:pStyle w:val="Default"/>
        <w:ind w:firstLine="567"/>
        <w:jc w:val="both"/>
        <w:rPr>
          <w:rFonts w:ascii="Arial" w:hAnsi="Arial" w:cs="Arial"/>
          <w:b/>
          <w:bCs/>
          <w:i/>
          <w:iCs/>
          <w:color w:val="auto"/>
          <w:sz w:val="20"/>
          <w:szCs w:val="20"/>
        </w:rPr>
      </w:pP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2) Информация о принятии Эмитентом решения о досрочном погашении Биржевых облигаций публикуется Эмитентом в форме сообщения о существенном факте в соответствии с порядком, указанным в п. 11 Программы биржевых облигаций и п. 8.11. раздела VIII Проспекта ценных бумаг.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Данное сообщение среди прочих сведений должно включать в себя также стоимость досрочного погашения, срок и порядок осуществления Эмитентом досрочного погашения Биржевых облигаций. </w:t>
      </w:r>
    </w:p>
    <w:p w:rsidR="00AF22E8" w:rsidRPr="00AF22E8" w:rsidRDefault="00AF22E8" w:rsidP="00AF22E8">
      <w:pPr>
        <w:pStyle w:val="Default"/>
        <w:ind w:firstLine="567"/>
        <w:jc w:val="both"/>
        <w:rPr>
          <w:rFonts w:ascii="Arial" w:hAnsi="Arial" w:cs="Arial"/>
          <w:b/>
          <w:bCs/>
          <w:i/>
          <w:iCs/>
          <w:color w:val="auto"/>
          <w:sz w:val="20"/>
          <w:szCs w:val="20"/>
        </w:rPr>
      </w:pP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3) После досрочного погашения Эмитентом Биржевых облигаций Эмитент публикует информацию об итогах досрочного погашения Биржевых облигаций. Указанная информация (включая количество досрочно погашенных Биржевых облигаций) публикуется в форме сообщения о существенном факте в соответствии с порядком, указанным в п. 11 Программы биржевых облигаций и п. 8.11. раздела VIII Проспекта ценных бумаг. </w:t>
      </w:r>
    </w:p>
    <w:p w:rsidR="00AF22E8" w:rsidRPr="00AF22E8" w:rsidRDefault="00AF22E8" w:rsidP="00AF22E8">
      <w:pPr>
        <w:pStyle w:val="Default"/>
        <w:rPr>
          <w:color w:val="auto"/>
          <w:sz w:val="20"/>
          <w:szCs w:val="20"/>
        </w:rPr>
      </w:pPr>
    </w:p>
    <w:p w:rsidR="00AF22E8" w:rsidRPr="00AF22E8" w:rsidRDefault="00AF22E8" w:rsidP="00A06BCF">
      <w:pPr>
        <w:pStyle w:val="Default"/>
        <w:ind w:firstLine="567"/>
        <w:jc w:val="both"/>
        <w:rPr>
          <w:rFonts w:ascii="Arial" w:hAnsi="Arial" w:cs="Arial"/>
          <w:color w:val="auto"/>
          <w:sz w:val="20"/>
          <w:szCs w:val="20"/>
        </w:rPr>
      </w:pPr>
      <w:r w:rsidRPr="00AF22E8">
        <w:rPr>
          <w:color w:val="auto"/>
          <w:sz w:val="20"/>
          <w:szCs w:val="20"/>
        </w:rPr>
        <w:t xml:space="preserve">Иные условия досрочного погашения облигаций: </w:t>
      </w:r>
      <w:r w:rsidRPr="00AF22E8">
        <w:rPr>
          <w:rFonts w:ascii="Arial" w:hAnsi="Arial" w:cs="Arial"/>
          <w:b/>
          <w:bCs/>
          <w:i/>
          <w:iCs/>
          <w:color w:val="auto"/>
          <w:sz w:val="20"/>
          <w:szCs w:val="20"/>
        </w:rPr>
        <w:t xml:space="preserve">отсутствуют. </w:t>
      </w:r>
    </w:p>
    <w:p w:rsidR="00AF22E8" w:rsidRPr="00AF22E8" w:rsidRDefault="00AF22E8" w:rsidP="00AF22E8">
      <w:pPr>
        <w:pStyle w:val="Default"/>
        <w:rPr>
          <w:rFonts w:ascii="Arial" w:hAnsi="Arial" w:cs="Arial"/>
          <w:b/>
          <w:bCs/>
          <w:i/>
          <w:iCs/>
          <w:color w:val="auto"/>
          <w:sz w:val="20"/>
          <w:szCs w:val="20"/>
        </w:rPr>
      </w:pP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Б) До даты начала размещения Биржевых облигаций единоличный исполнительный орган Эмитента может принять решение о частичном досрочном погашении Биржевых облигаций в дату окончания очередного(ых) купонного(ых) периода(ов). При этом Эмитент должен определить номер(а) купонного(ых) периода(ов) в дату окончания которого(ых) Эмитент будет осуществлять досрочное погашение определенной части номинальной стоимости Биржевых облигаций, а также процент от номинальной стоимости, подлежащий погашению в дату окончания указанного(ых) купонного(ых) периода(ов).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В случае если такое решение Эмитентом не принято, то считается, что возможность частичного досрочного погашения по усмотрению Эмитента им не используется, и Эмитент не вправе частично досрочно погасить выпуск Биржевых облигаций.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В случае принятия решения о частичном досрочном погашении Биржевых облигаций приобретение Биржевых облигаций будет означать согласие приобретателя Биржевых облигаций с возможностью их частичного досрочного погашения по усмотрению Эмитента.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Выплата определенной части номинальной стоимости Биржевых облигаций и купонного дохода при их частичном досрочном погашении производится денежными средствами в рублях Российской Федерации в безналичном порядке. </w:t>
      </w:r>
    </w:p>
    <w:p w:rsidR="00AF22E8" w:rsidRPr="00AF22E8" w:rsidRDefault="00AF22E8" w:rsidP="00AF22E8">
      <w:pPr>
        <w:pStyle w:val="Default"/>
        <w:jc w:val="both"/>
        <w:rPr>
          <w:color w:val="auto"/>
          <w:sz w:val="20"/>
          <w:szCs w:val="20"/>
        </w:rPr>
      </w:pPr>
    </w:p>
    <w:p w:rsidR="00AF22E8" w:rsidRPr="00AF22E8" w:rsidRDefault="00AF22E8" w:rsidP="00A06BCF">
      <w:pPr>
        <w:pStyle w:val="Default"/>
        <w:ind w:firstLine="567"/>
        <w:jc w:val="both"/>
        <w:rPr>
          <w:color w:val="auto"/>
          <w:sz w:val="20"/>
          <w:szCs w:val="20"/>
        </w:rPr>
      </w:pPr>
      <w:r w:rsidRPr="00AF22E8">
        <w:rPr>
          <w:color w:val="auto"/>
          <w:sz w:val="20"/>
          <w:szCs w:val="20"/>
        </w:rPr>
        <w:t xml:space="preserve">Стоимость (порядок определения стоимости) частичного досрочного погашения облигаций по усмотрению эмитента: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Частичное досрочное погашение Биржевых облигаций по усмотрению Эмитента осуществляется в одинаковом проценте от номинальной стоимости Биржевых облигаций в отношении всех Биржевых облигаций.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Частичное досрочное погашение Биржевых облигаций производится в проценте от номинальной стоимости одной Биржевой облигации, определенном Эмитентом перед началом размещения Биржевых облигаций. При этом выплачивается купонный доход по соответствующему купонному периоду, в дату окончания которого осуществляется частичное досрочное погашение. </w:t>
      </w:r>
    </w:p>
    <w:p w:rsidR="00AF22E8" w:rsidRPr="00AF22E8" w:rsidRDefault="00AF22E8" w:rsidP="00AF22E8">
      <w:pPr>
        <w:pStyle w:val="Default"/>
        <w:ind w:firstLine="567"/>
        <w:rPr>
          <w:rFonts w:ascii="Arial" w:hAnsi="Arial" w:cs="Arial"/>
          <w:color w:val="auto"/>
          <w:sz w:val="20"/>
          <w:szCs w:val="20"/>
        </w:rPr>
      </w:pPr>
    </w:p>
    <w:p w:rsidR="00AF22E8" w:rsidRPr="00A06BCF" w:rsidRDefault="00AF22E8" w:rsidP="00AF22E8">
      <w:pPr>
        <w:pStyle w:val="ConsPlusNormal"/>
        <w:ind w:firstLine="567"/>
        <w:jc w:val="both"/>
        <w:rPr>
          <w:rFonts w:ascii="Times New Roman" w:hAnsi="Times New Roman" w:cs="Times New Roman"/>
        </w:rPr>
      </w:pPr>
      <w:r w:rsidRPr="00A06BCF">
        <w:rPr>
          <w:rFonts w:ascii="Times New Roman" w:hAnsi="Times New Roman" w:cs="Times New Roman"/>
        </w:rPr>
        <w:t>Cрок (порядок определения срока), в течение которого облигации могут быть частично досрочно погашены эмитентом либо владельцами облигаций могут быть направлены (предъявлены) заявления, содержащие требование о досрочном погашении облигаций:</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Частичное досрочное погашение Биржевых облигаций допускается только после полной оплаты Биржевых облигаций.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В случае принятия Эмитентом до даты начала размещения Биржевых облигаций решения о частичном досрочном погашении Биржевых облигаций, Биржевые облигации будут частично досрочно погашены в дату окончания купонного(ых) периода(ов), определенных Эмитентом в таком решении. </w:t>
      </w:r>
    </w:p>
    <w:p w:rsidR="00AF22E8" w:rsidRPr="00AF22E8" w:rsidRDefault="00AF22E8" w:rsidP="00AF22E8">
      <w:pPr>
        <w:pStyle w:val="Default"/>
        <w:rPr>
          <w:color w:val="auto"/>
          <w:sz w:val="20"/>
          <w:szCs w:val="20"/>
        </w:rPr>
      </w:pPr>
    </w:p>
    <w:p w:rsidR="00AF22E8" w:rsidRPr="00AF22E8" w:rsidRDefault="00AF22E8" w:rsidP="00A06BCF">
      <w:pPr>
        <w:pStyle w:val="Default"/>
        <w:ind w:firstLine="567"/>
        <w:jc w:val="both"/>
        <w:rPr>
          <w:color w:val="auto"/>
          <w:sz w:val="20"/>
          <w:szCs w:val="20"/>
        </w:rPr>
      </w:pPr>
      <w:r w:rsidRPr="00AF22E8">
        <w:rPr>
          <w:color w:val="auto"/>
          <w:sz w:val="20"/>
          <w:szCs w:val="20"/>
        </w:rPr>
        <w:t xml:space="preserve">Порядок и (или) условия частичного досрочного погашения облигаций по усмотрению эмитента.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Частичное досрочное погашение Биржевых облигаций производится денежными средствами в валюте Российской Федерации в безналичном порядке. Возможность выбора владельцами Биржевых облигаций формы погашения Биржевых облигаций не предусмотрена.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Частичное досрочное погашение Биржевых облигаций по усмотрению Эмитента осуществляется в отношении всех Биржевых облигаций.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Если дата частичного досрочного погашения Биржевых облигаций приходится на нерабочий праздничный или выходной день - независимо от того, будет ли это государственный выходной день или выходной день для расчетных операций, - то перечисление надлежащей суммы производится в первый рабочий день, следующий за нерабочим праздничным или выходным днем. Владелец Биржевых облигаций не имеет права требовать начисления процентов или какой-либо иной компенсации за такую задержку в платеже.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Владельцы и иные лица, осуществляющие в соответствии с федеральными законами права по Биржевым облигациям, получают причитающиеся им денежные выплаты в счет частичного досрочного погашения Биржевых облигаций через депозитарий, осуществляющий учет прав на ценные бумаги, депонентами которого они являются. Депозитарный договор между депозитарием, осуществляющим учет прав на ценные бумаги, и депонентом должен содержать порядок передачи депоненту выплат по ценным бумагам.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Эмитент исполняет обязанность по осуществлению денежных выплат в счет частичного досрочного погашения ценных бумаг путем перечисления денежных средств НРД. Указанная обязанность считается исполненной Эмитентом с даты поступления денежных средств на счет НРД.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Частичное досрочное погашение Биржевых облигаций производится в соответствии с порядком, установленным требованиями действующего законодательства Российской Федерации. </w:t>
      </w:r>
    </w:p>
    <w:p w:rsidR="00AF22E8" w:rsidRPr="00AF22E8" w:rsidRDefault="00AF22E8" w:rsidP="00AF22E8">
      <w:pPr>
        <w:spacing w:after="0"/>
        <w:ind w:firstLine="540"/>
        <w:jc w:val="both"/>
      </w:pPr>
    </w:p>
    <w:p w:rsidR="00AF22E8" w:rsidRPr="00AF22E8" w:rsidRDefault="00AF22E8" w:rsidP="00A06BCF">
      <w:pPr>
        <w:spacing w:after="0"/>
        <w:ind w:firstLine="567"/>
        <w:jc w:val="both"/>
      </w:pPr>
      <w:r w:rsidRPr="00AF22E8">
        <w:t>Порядок раскрытия эмитентом информации об условиях и итогах частичного досрочного погашения облигаций:</w:t>
      </w:r>
    </w:p>
    <w:p w:rsidR="00AF22E8" w:rsidRPr="00AF22E8" w:rsidRDefault="00AF22E8" w:rsidP="00A06BCF">
      <w:pPr>
        <w:pStyle w:val="Default"/>
        <w:ind w:firstLine="567"/>
        <w:jc w:val="both"/>
        <w:rPr>
          <w:color w:val="auto"/>
          <w:sz w:val="20"/>
          <w:szCs w:val="20"/>
        </w:rPr>
      </w:pPr>
    </w:p>
    <w:p w:rsidR="00AF22E8" w:rsidRPr="00AF22E8" w:rsidRDefault="00AF22E8" w:rsidP="00A06BCF">
      <w:pPr>
        <w:pStyle w:val="Default"/>
        <w:ind w:firstLine="567"/>
        <w:jc w:val="both"/>
        <w:rPr>
          <w:color w:val="auto"/>
          <w:sz w:val="20"/>
          <w:szCs w:val="20"/>
        </w:rPr>
      </w:pPr>
      <w:r w:rsidRPr="00AF22E8">
        <w:rPr>
          <w:color w:val="auto"/>
          <w:sz w:val="20"/>
          <w:szCs w:val="20"/>
        </w:rPr>
        <w:t xml:space="preserve">Порядок раскрытия эмитентом информации о принятии решения о частичном досрочном погашении биржевых облигаций в дату окончания очередного(ых) купонного(ых) периода(ов):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1) Сообщение о принятии Эмитентом решения о частичном досрочном погашении Биржевых облигаций в дату окончания очередного(ых) купонного(ых) периода(ов) публикуется не позднее 1 (Одного) дня до даты начала размещения Биржевых облигаций в форме сообщения о существенном факте в соответствии с порядком, указанным в п. 11 Программы биржевых облигаций и п. 8.11. раздела VIII Проспекта ценных бумаг.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Данное сообщение среди прочих сведений должно включать номер(а) купонного(ых) периода(ов), в дату окончания которого(ых) Эмитент осуществляет досрочное погашение определенной части номинальной стоимости Биржевых облигаций, а также процент от номинальной стоимости, подлежащий погашению в дату окончания указанного(ых) купонного(ых) периода(ов).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Эмитент информирует Биржу и НРД о принятых решениях о дате(ах) частичного досрочного погашения Биржевых облигаций и проценте от номинальной стоимости Биржевых облигаций, подлежащем погашению, не позднее 1 (Одного) дня до даты начала размещения Биржевых облигаций. </w:t>
      </w:r>
    </w:p>
    <w:p w:rsidR="00AF22E8" w:rsidRPr="00AF22E8" w:rsidRDefault="00AF22E8" w:rsidP="00AF22E8">
      <w:pPr>
        <w:pStyle w:val="Default"/>
        <w:ind w:firstLine="567"/>
        <w:rPr>
          <w:rFonts w:ascii="Arial" w:hAnsi="Arial" w:cs="Arial"/>
          <w:b/>
          <w:bCs/>
          <w:i/>
          <w:iCs/>
          <w:color w:val="auto"/>
          <w:sz w:val="20"/>
          <w:szCs w:val="20"/>
        </w:rPr>
      </w:pP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2) Информация об итогах частичного досрочного погашения Биржевых облигаций по усмотрению Эмитента раскрывается Эмитентом в форме сообщения о существенном факте в соответствии с порядком, указанным в п. 11 Программы биржевых облигаций и п. 8.11. раздела VIII Проспекта ценных бумаг.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Указанное сообщение должно содержать следующую информацию: дата частичного досрочного погашения Биржевых облигаций; процент от номинальной стоимости, который был погашен; сумма частичного досрочного погашения в расчете на одну Биржевую облигацию; сумма частичного досрочного погашения в расчете на все Биржевые облигации. </w:t>
      </w:r>
    </w:p>
    <w:p w:rsidR="00AF22E8" w:rsidRDefault="00AF22E8" w:rsidP="00AF22E8">
      <w:pPr>
        <w:pStyle w:val="Default"/>
        <w:jc w:val="both"/>
        <w:rPr>
          <w:color w:val="auto"/>
          <w:sz w:val="22"/>
          <w:szCs w:val="22"/>
        </w:rPr>
      </w:pPr>
    </w:p>
    <w:p w:rsidR="00AF22E8" w:rsidRPr="00AF22E8" w:rsidRDefault="00AF22E8" w:rsidP="00A06BCF">
      <w:pPr>
        <w:pStyle w:val="Default"/>
        <w:ind w:firstLine="567"/>
        <w:jc w:val="both"/>
        <w:rPr>
          <w:color w:val="auto"/>
          <w:sz w:val="20"/>
          <w:szCs w:val="20"/>
        </w:rPr>
      </w:pPr>
      <w:r w:rsidRPr="00AF22E8">
        <w:rPr>
          <w:color w:val="auto"/>
          <w:sz w:val="20"/>
          <w:szCs w:val="20"/>
        </w:rPr>
        <w:t xml:space="preserve">Иные условия частичного досрочного погашения облигаций: </w:t>
      </w:r>
      <w:r w:rsidRPr="00AF22E8">
        <w:rPr>
          <w:rFonts w:ascii="Arial" w:hAnsi="Arial" w:cs="Arial"/>
          <w:b/>
          <w:bCs/>
          <w:i/>
          <w:iCs/>
          <w:color w:val="auto"/>
          <w:sz w:val="20"/>
          <w:szCs w:val="20"/>
        </w:rPr>
        <w:t>отсутствуют.</w:t>
      </w:r>
      <w:r w:rsidRPr="00AF22E8">
        <w:rPr>
          <w:b/>
          <w:bCs/>
          <w:i/>
          <w:iCs/>
          <w:color w:val="auto"/>
          <w:sz w:val="20"/>
          <w:szCs w:val="20"/>
        </w:rPr>
        <w:t xml:space="preserve"> </w:t>
      </w:r>
    </w:p>
    <w:p w:rsidR="00AF22E8" w:rsidRPr="00AF22E8" w:rsidRDefault="00AF22E8" w:rsidP="00AF22E8">
      <w:pPr>
        <w:pStyle w:val="Default"/>
        <w:jc w:val="both"/>
        <w:rPr>
          <w:rFonts w:ascii="Arial" w:hAnsi="Arial" w:cs="Arial"/>
          <w:b/>
          <w:bCs/>
          <w:i/>
          <w:iCs/>
          <w:color w:val="auto"/>
          <w:sz w:val="20"/>
          <w:szCs w:val="20"/>
        </w:rPr>
      </w:pP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В) Эмитент имеет право принять решение о досрочном погашении Биржевых облигаций в дату окончания купонного периода, предшествующего купонному периоду, процентная ставка по которому будет определена после завершения размещения и раскрытия ФБ ММВБ информации об итогах размещения Биржевых облигаций и уведомления об этом Банка России в установленном порядке. </w:t>
      </w:r>
    </w:p>
    <w:p w:rsidR="00AF22E8" w:rsidRPr="00AF22E8" w:rsidRDefault="00AF22E8" w:rsidP="00AF22E8">
      <w:pPr>
        <w:pStyle w:val="Default"/>
        <w:ind w:firstLine="567"/>
        <w:jc w:val="both"/>
        <w:rPr>
          <w:rFonts w:ascii="Arial" w:hAnsi="Arial" w:cs="Arial"/>
          <w:b/>
          <w:bCs/>
          <w:i/>
          <w:iCs/>
          <w:color w:val="auto"/>
          <w:sz w:val="20"/>
          <w:szCs w:val="20"/>
        </w:rPr>
      </w:pPr>
      <w:r w:rsidRPr="00AF22E8">
        <w:rPr>
          <w:rFonts w:ascii="Arial" w:hAnsi="Arial" w:cs="Arial"/>
          <w:b/>
          <w:bCs/>
          <w:i/>
          <w:iCs/>
          <w:color w:val="auto"/>
          <w:sz w:val="20"/>
          <w:szCs w:val="20"/>
        </w:rPr>
        <w:t xml:space="preserve">Решение о досрочном погашении Биржевых облигаций по усмотрению Эмитента, принимается единоличным исполнительным органом Эмитента и раскрывается не позднее, чем за 14 (Четырнадцать) дней до даты окончания купонного периода, в дату окончания которого планируется досрочное погашение Биржевых облигаций. </w:t>
      </w:r>
    </w:p>
    <w:p w:rsidR="00AF22E8" w:rsidRPr="00AF22E8" w:rsidRDefault="00AF22E8" w:rsidP="00AF22E8">
      <w:pPr>
        <w:pStyle w:val="Default"/>
        <w:ind w:firstLine="567"/>
        <w:jc w:val="both"/>
        <w:rPr>
          <w:rFonts w:ascii="Arial" w:hAnsi="Arial" w:cs="Arial"/>
          <w:b/>
          <w:bCs/>
          <w:i/>
          <w:iCs/>
          <w:color w:val="auto"/>
          <w:sz w:val="20"/>
          <w:szCs w:val="20"/>
        </w:rPr>
      </w:pPr>
      <w:r w:rsidRPr="00AF22E8">
        <w:rPr>
          <w:rFonts w:ascii="Arial" w:hAnsi="Arial" w:cs="Arial"/>
          <w:b/>
          <w:bCs/>
          <w:i/>
          <w:iCs/>
          <w:color w:val="auto"/>
          <w:sz w:val="20"/>
          <w:szCs w:val="20"/>
        </w:rPr>
        <w:t xml:space="preserve">Досрочное погашение Биржевых облигаций по усмотрению Эмитента осуществляется в отношении всех Биржевых облигаций.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Приобретение Биржевых облигаций означает согласие приобретателя Биржевых облигаций с возможностью их досрочного погашения по усмотрению Эмитента.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О досрочном погашении Биржевых облигаций Эмитент уведомляет Биржу и НРД в дату принятия соответствующего решения. </w:t>
      </w:r>
    </w:p>
    <w:p w:rsidR="00AF22E8" w:rsidRPr="00AF22E8" w:rsidRDefault="00AF22E8" w:rsidP="00AF22E8">
      <w:pPr>
        <w:pStyle w:val="Default"/>
        <w:jc w:val="both"/>
        <w:rPr>
          <w:color w:val="auto"/>
          <w:sz w:val="20"/>
          <w:szCs w:val="20"/>
        </w:rPr>
      </w:pPr>
    </w:p>
    <w:p w:rsidR="00AF22E8" w:rsidRPr="00AF22E8" w:rsidRDefault="00AF22E8" w:rsidP="00AF22E8">
      <w:pPr>
        <w:pStyle w:val="Default"/>
        <w:ind w:firstLine="567"/>
        <w:jc w:val="both"/>
        <w:rPr>
          <w:color w:val="auto"/>
          <w:sz w:val="20"/>
          <w:szCs w:val="20"/>
        </w:rPr>
      </w:pPr>
      <w:r w:rsidRPr="00AF22E8">
        <w:rPr>
          <w:color w:val="auto"/>
          <w:sz w:val="20"/>
          <w:szCs w:val="20"/>
        </w:rPr>
        <w:t xml:space="preserve">Стоимость (порядок определения стоимости) досрочного погашения облигаций по усмотрению эмитента: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Биржевые облигации досрочно погашаются по непогашенной части номинальной стоимости. При этом выплачивается купонный доход по купонному периоду, в дату окончания которого осуществляется досрочное погашение выпуска Биржевых облигаций. </w:t>
      </w:r>
    </w:p>
    <w:p w:rsidR="00AF22E8" w:rsidRDefault="00AF22E8" w:rsidP="00AF22E8">
      <w:pPr>
        <w:pStyle w:val="ConsPlusNormal"/>
        <w:jc w:val="both"/>
        <w:rPr>
          <w:sz w:val="22"/>
          <w:szCs w:val="22"/>
        </w:rPr>
      </w:pPr>
    </w:p>
    <w:p w:rsidR="00AF22E8" w:rsidRPr="00AF22E8" w:rsidRDefault="00AF22E8" w:rsidP="00AF22E8">
      <w:pPr>
        <w:pStyle w:val="ConsPlusNormal"/>
        <w:ind w:firstLine="567"/>
        <w:jc w:val="both"/>
        <w:rPr>
          <w:rFonts w:ascii="Times New Roman" w:hAnsi="Times New Roman" w:cs="Times New Roman"/>
        </w:rPr>
      </w:pPr>
      <w:r w:rsidRPr="00AF22E8">
        <w:rPr>
          <w:rFonts w:ascii="Times New Roman" w:hAnsi="Times New Roman" w:cs="Times New Roman"/>
        </w:rPr>
        <w:t xml:space="preserve">Срок (порядок определения срока), в течение которого облигации могут быть досрочно погашены эмитентом: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Досрочное погашение Биржевых облигаций допускается только после полной оплаты Биржевых облигаций.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В случае принятия Эмитентом решения о досрочном погашении по усмотрению Эмитента Биржевые облигации будут досрочно погашены в дату окончания купонного периода, предшествующего купонному периоду, процентная ставка по которому будет определена после завершения размещения и раскрытия ФБ ММВБ информации об итогах размещения Биржевых облигаций и уведомления об этом Банка России в установленном порядке. </w:t>
      </w:r>
    </w:p>
    <w:p w:rsidR="00AF22E8" w:rsidRPr="00AF22E8" w:rsidRDefault="00AF22E8" w:rsidP="00AF22E8">
      <w:pPr>
        <w:pStyle w:val="Default"/>
        <w:ind w:firstLine="567"/>
        <w:jc w:val="both"/>
        <w:rPr>
          <w:color w:val="auto"/>
          <w:sz w:val="20"/>
          <w:szCs w:val="20"/>
        </w:rPr>
      </w:pPr>
    </w:p>
    <w:p w:rsidR="00AF22E8" w:rsidRPr="00AF22E8" w:rsidRDefault="00AF22E8" w:rsidP="00AF22E8">
      <w:pPr>
        <w:pStyle w:val="Default"/>
        <w:ind w:firstLine="567"/>
        <w:jc w:val="both"/>
        <w:rPr>
          <w:color w:val="auto"/>
          <w:sz w:val="20"/>
          <w:szCs w:val="20"/>
        </w:rPr>
      </w:pPr>
      <w:r w:rsidRPr="00AF22E8">
        <w:rPr>
          <w:color w:val="auto"/>
          <w:sz w:val="20"/>
          <w:szCs w:val="20"/>
        </w:rPr>
        <w:t xml:space="preserve">Порядок и (или) условия досрочного погашения облигаций по усмотрению эмитента: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Досрочное погашение Биржевых облигаций производится денежными средствами в безналичном порядке в валюте Российской Федерации. Возможность выбора владельцами Биржевых облигаций формы погашения Биржевых облигаций не предусмотрена. Выплата непогашенной части номинальной стоимости и купонного дохода Биржевых облигаций при их досрочном погашении производится в валюте Российской Федерации в безналичном порядке.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Досрочное погашение Биржевых облигаций производится в соответствии с порядком, установленным требованиями действующего законодательства Российской Федерации.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Владельцы и иные лица, осуществляющие в соответствии с федеральными законами права по Биржевым облигациям, получают причитающиеся им денежные выплаты в счет досрочного погашения Биржевых облигаций через депозитарий, осуществляющий учет прав на ценные бумаги, депонентами которого они являются. Депозитарный договор между депозитарием, осуществляющим учет прав на ценные бумаги, и депонентом должен содержать порядок передачи депоненту денежных выплат по ценным бумагам.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Эмитент исполняет обязанность по осуществлению денежных выплат в счет досрочного погашения ценных бумаг путем перечисления денежных средств НРД. Указанная обязанность считается исполненной эмитентом с даты поступления денежных средств на счет НРД.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Если дата досрочного погашения Биржевых облигаций приходится на нерабочий праздничный или выходной день - независимо от того, будет ли это государственный выходной день или выходной день для расчетных операций, - то перечисление надлежащей суммы производится в первый рабочий день, следующий за нерабочим праздничным или выходным днем. Владелец Биржевой облигации не имеет права требовать начисления процентов или какой-либо иной компенсации за такую задержку в платеже.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Списание Биржевых облигаций со счетов депо при досрочном погашении производится после исполнения Эмитентом всех обязательств перед владельцами Биржевых облигаций по погашению номинальной стоимости Биржевых облигаций и выплате купонного дохода по ним.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Снятие Сертификата с хранения производится после списания всех Биржевых облигаций со счетов в НРД.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Биржевые облигации, погашенные Эмитентом досрочно, не могут быть выпущены в обращение. </w:t>
      </w:r>
    </w:p>
    <w:p w:rsidR="00AF22E8" w:rsidRPr="00AF22E8" w:rsidRDefault="00AF22E8" w:rsidP="00AF22E8">
      <w:pPr>
        <w:pStyle w:val="Default"/>
        <w:ind w:firstLine="567"/>
        <w:jc w:val="both"/>
        <w:rPr>
          <w:color w:val="auto"/>
          <w:sz w:val="20"/>
          <w:szCs w:val="20"/>
        </w:rPr>
      </w:pPr>
    </w:p>
    <w:p w:rsidR="00AF22E8" w:rsidRPr="00AF22E8" w:rsidRDefault="00AF22E8" w:rsidP="00AF22E8">
      <w:pPr>
        <w:pStyle w:val="Default"/>
        <w:ind w:firstLine="567"/>
        <w:jc w:val="both"/>
        <w:rPr>
          <w:color w:val="auto"/>
          <w:sz w:val="20"/>
          <w:szCs w:val="20"/>
        </w:rPr>
      </w:pPr>
      <w:r w:rsidRPr="00AF22E8">
        <w:rPr>
          <w:color w:val="auto"/>
          <w:sz w:val="20"/>
          <w:szCs w:val="20"/>
        </w:rPr>
        <w:t xml:space="preserve">Порядок раскрытия эмитентом информации об условиях и итогах досрочного погашения облигаций по усмотрению эмитента: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1) Информация о принятии Эмитентом решения о досрочном погашении Биржевых облигаций публикуется Эмитентом в форме сообщения о существенном факте в соответствии с порядком, указанным в п. 11 Программы биржевых облигаций и п. 8.11. раздела VIII Проспекта ценных бумаг.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Данное сообщение среди прочих сведений должно включать в себя также стоимость досрочного погашения, срок и порядок осуществления Эмитентом досрочного погашения Биржевых облигаций. </w:t>
      </w:r>
    </w:p>
    <w:p w:rsidR="00AF22E8" w:rsidRPr="00AF22E8" w:rsidRDefault="00AF22E8" w:rsidP="00AF22E8">
      <w:pPr>
        <w:pStyle w:val="Default"/>
        <w:ind w:firstLine="567"/>
        <w:jc w:val="both"/>
        <w:rPr>
          <w:rFonts w:ascii="Arial" w:hAnsi="Arial" w:cs="Arial"/>
          <w:color w:val="auto"/>
          <w:sz w:val="20"/>
          <w:szCs w:val="20"/>
        </w:rPr>
      </w:pPr>
      <w:r w:rsidRPr="00AF22E8">
        <w:rPr>
          <w:rFonts w:ascii="Arial" w:hAnsi="Arial" w:cs="Arial"/>
          <w:b/>
          <w:bCs/>
          <w:i/>
          <w:iCs/>
          <w:color w:val="auto"/>
          <w:sz w:val="20"/>
          <w:szCs w:val="20"/>
        </w:rPr>
        <w:t xml:space="preserve">2) После досрочного погашения Эмитентом Биржевых облигаций Эмитент публикует информацию об итогах досрочного погашения эмиссионных ценных бумаг Эмитента. Указанная информация (включая количество досрочно погашенных Биржевых облигаций) публикуется в форме сообщения о существенном факте в соответствии с порядком, указанным в п. 11 Программы биржевых облигаций и п. 8.11. раздела VIII Проспекта ценных бумаг. </w:t>
      </w:r>
    </w:p>
    <w:p w:rsidR="00AF22E8" w:rsidRPr="00AF22E8" w:rsidRDefault="00AF22E8" w:rsidP="00AF22E8">
      <w:pPr>
        <w:pStyle w:val="Default"/>
        <w:jc w:val="both"/>
        <w:rPr>
          <w:color w:val="auto"/>
          <w:sz w:val="20"/>
          <w:szCs w:val="20"/>
        </w:rPr>
      </w:pPr>
    </w:p>
    <w:p w:rsidR="00AF22E8" w:rsidRPr="00AF22E8" w:rsidRDefault="00AF22E8" w:rsidP="00AF22E8">
      <w:pPr>
        <w:pStyle w:val="Default"/>
        <w:ind w:firstLine="567"/>
        <w:jc w:val="both"/>
        <w:rPr>
          <w:color w:val="auto"/>
          <w:sz w:val="20"/>
          <w:szCs w:val="20"/>
        </w:rPr>
      </w:pPr>
      <w:r w:rsidRPr="00AF22E8">
        <w:rPr>
          <w:color w:val="auto"/>
          <w:sz w:val="20"/>
          <w:szCs w:val="20"/>
        </w:rPr>
        <w:t xml:space="preserve">Иные условия досрочного погашения облигаций: </w:t>
      </w:r>
      <w:r w:rsidRPr="00AF22E8">
        <w:rPr>
          <w:rFonts w:ascii="Arial" w:hAnsi="Arial" w:cs="Arial"/>
          <w:b/>
          <w:bCs/>
          <w:i/>
          <w:iCs/>
          <w:color w:val="auto"/>
          <w:sz w:val="20"/>
          <w:szCs w:val="20"/>
        </w:rPr>
        <w:t>отсутствуют.</w:t>
      </w:r>
      <w:r w:rsidRPr="00AF22E8">
        <w:rPr>
          <w:b/>
          <w:bCs/>
          <w:i/>
          <w:iCs/>
          <w:color w:val="auto"/>
          <w:sz w:val="20"/>
          <w:szCs w:val="20"/>
        </w:rPr>
        <w:t xml:space="preserve"> </w:t>
      </w:r>
    </w:p>
    <w:p w:rsidR="008E501A" w:rsidRDefault="008E501A" w:rsidP="00886DC8">
      <w:pPr>
        <w:widowControl/>
        <w:spacing w:before="0" w:after="0"/>
        <w:jc w:val="both"/>
        <w:rPr>
          <w:rFonts w:eastAsiaTheme="minorHAnsi"/>
          <w:lang w:eastAsia="en-US"/>
        </w:rPr>
      </w:pPr>
    </w:p>
    <w:p w:rsidR="00886DC8" w:rsidRPr="003F1D31" w:rsidRDefault="00886DC8" w:rsidP="00886DC8">
      <w:pPr>
        <w:widowControl/>
        <w:spacing w:before="0" w:after="0"/>
        <w:ind w:firstLine="540"/>
        <w:jc w:val="both"/>
        <w:outlineLvl w:val="2"/>
        <w:rPr>
          <w:rFonts w:ascii="Arial" w:eastAsiaTheme="minorHAnsi" w:hAnsi="Arial" w:cs="Arial"/>
          <w:b/>
          <w:sz w:val="26"/>
          <w:szCs w:val="26"/>
          <w:lang w:eastAsia="en-US"/>
        </w:rPr>
      </w:pPr>
      <w:bookmarkStart w:id="121" w:name="_Toc448251216"/>
      <w:r w:rsidRPr="003F1D31">
        <w:rPr>
          <w:rFonts w:ascii="Arial" w:eastAsiaTheme="minorHAnsi" w:hAnsi="Arial" w:cs="Arial"/>
          <w:b/>
          <w:sz w:val="26"/>
          <w:szCs w:val="26"/>
          <w:lang w:eastAsia="en-US"/>
        </w:rPr>
        <w:t>8.9.6. Сведения о платежных агентах по облигациям</w:t>
      </w:r>
      <w:bookmarkEnd w:id="121"/>
    </w:p>
    <w:p w:rsidR="00C5163E" w:rsidRDefault="00C5163E" w:rsidP="00886DC8">
      <w:pPr>
        <w:widowControl/>
        <w:spacing w:before="0" w:after="0"/>
        <w:ind w:firstLine="540"/>
        <w:jc w:val="both"/>
        <w:rPr>
          <w:rFonts w:eastAsiaTheme="minorHAnsi"/>
          <w:lang w:eastAsia="en-US"/>
        </w:rPr>
      </w:pPr>
    </w:p>
    <w:p w:rsidR="00BC7AAA" w:rsidRPr="00BC7AAA" w:rsidRDefault="00BC7AAA" w:rsidP="00BC7AAA">
      <w:pPr>
        <w:pStyle w:val="Default"/>
        <w:ind w:firstLine="567"/>
        <w:jc w:val="both"/>
        <w:rPr>
          <w:rFonts w:ascii="Arial" w:hAnsi="Arial" w:cs="Arial"/>
          <w:color w:val="auto"/>
          <w:sz w:val="20"/>
          <w:szCs w:val="20"/>
        </w:rPr>
      </w:pPr>
      <w:r w:rsidRPr="00BC7AAA">
        <w:rPr>
          <w:rFonts w:ascii="Arial" w:hAnsi="Arial" w:cs="Arial"/>
          <w:b/>
          <w:bCs/>
          <w:i/>
          <w:iCs/>
          <w:color w:val="auto"/>
          <w:sz w:val="20"/>
          <w:szCs w:val="20"/>
        </w:rPr>
        <w:t>На дату утверждения Программы биржевых облигаций</w:t>
      </w:r>
      <w:r w:rsidR="00355AB8">
        <w:rPr>
          <w:rFonts w:ascii="Arial" w:hAnsi="Arial" w:cs="Arial"/>
          <w:b/>
          <w:bCs/>
          <w:i/>
          <w:iCs/>
          <w:color w:val="auto"/>
          <w:sz w:val="20"/>
          <w:szCs w:val="20"/>
        </w:rPr>
        <w:t>, Проспекта ценных бумаг</w:t>
      </w:r>
      <w:r w:rsidRPr="00BC7AAA">
        <w:rPr>
          <w:rFonts w:ascii="Arial" w:hAnsi="Arial" w:cs="Arial"/>
          <w:b/>
          <w:bCs/>
          <w:i/>
          <w:iCs/>
          <w:color w:val="auto"/>
          <w:sz w:val="20"/>
          <w:szCs w:val="20"/>
        </w:rPr>
        <w:t xml:space="preserve"> платежный агент не назначен. </w:t>
      </w:r>
    </w:p>
    <w:p w:rsidR="00BC7AAA" w:rsidRDefault="00BC7AAA" w:rsidP="00BC7AAA">
      <w:pPr>
        <w:widowControl/>
        <w:spacing w:before="0" w:after="0"/>
        <w:ind w:firstLine="540"/>
        <w:jc w:val="both"/>
        <w:rPr>
          <w:rFonts w:eastAsiaTheme="minorHAnsi"/>
          <w:lang w:eastAsia="en-US"/>
        </w:rPr>
      </w:pPr>
    </w:p>
    <w:p w:rsidR="00BC7AAA" w:rsidRPr="00886DC8" w:rsidRDefault="00BC7AAA" w:rsidP="00BC7AAA">
      <w:pPr>
        <w:widowControl/>
        <w:spacing w:before="0" w:after="0"/>
        <w:ind w:firstLine="540"/>
        <w:jc w:val="both"/>
        <w:rPr>
          <w:rFonts w:eastAsiaTheme="minorHAnsi"/>
          <w:lang w:eastAsia="en-US"/>
        </w:rPr>
      </w:pPr>
      <w:r w:rsidRPr="00886DC8">
        <w:rPr>
          <w:rFonts w:eastAsiaTheme="minorHAnsi"/>
          <w:lang w:eastAsia="en-US"/>
        </w:rPr>
        <w:t>Указывается на возможность назначения эмитентом дополнительных платежных агентов и отмены таких назначений, а также порядок раскрытия информации о таких действиях.</w:t>
      </w:r>
    </w:p>
    <w:p w:rsidR="00355AB8" w:rsidRPr="00355AB8" w:rsidRDefault="00355AB8" w:rsidP="00355AB8">
      <w:pPr>
        <w:pStyle w:val="Default"/>
        <w:ind w:firstLine="567"/>
        <w:jc w:val="both"/>
        <w:rPr>
          <w:rFonts w:ascii="Arial" w:hAnsi="Arial" w:cs="Arial"/>
          <w:b/>
          <w:bCs/>
          <w:i/>
          <w:iCs/>
          <w:color w:val="auto"/>
          <w:sz w:val="20"/>
          <w:szCs w:val="20"/>
        </w:rPr>
      </w:pPr>
      <w:r w:rsidRPr="00355AB8">
        <w:rPr>
          <w:rFonts w:ascii="Arial" w:hAnsi="Arial" w:cs="Arial"/>
          <w:b/>
          <w:bCs/>
          <w:i/>
          <w:iCs/>
          <w:color w:val="auto"/>
          <w:sz w:val="20"/>
          <w:szCs w:val="20"/>
        </w:rPr>
        <w:t xml:space="preserve">Эмитент может назначать платежных агентов и отменять такие назначения: </w:t>
      </w:r>
    </w:p>
    <w:p w:rsidR="00355AB8" w:rsidRPr="00355AB8" w:rsidRDefault="00355AB8" w:rsidP="00355AB8">
      <w:pPr>
        <w:pStyle w:val="Default"/>
        <w:numPr>
          <w:ilvl w:val="0"/>
          <w:numId w:val="24"/>
        </w:numPr>
        <w:ind w:left="0" w:firstLine="567"/>
        <w:jc w:val="both"/>
        <w:rPr>
          <w:rFonts w:ascii="Arial" w:hAnsi="Arial" w:cs="Arial"/>
          <w:color w:val="auto"/>
          <w:sz w:val="20"/>
          <w:szCs w:val="20"/>
        </w:rPr>
      </w:pPr>
      <w:r w:rsidRPr="00355AB8">
        <w:rPr>
          <w:rFonts w:ascii="Arial" w:hAnsi="Arial" w:cs="Arial"/>
          <w:b/>
          <w:bCs/>
          <w:i/>
          <w:iCs/>
          <w:color w:val="auto"/>
          <w:sz w:val="20"/>
          <w:szCs w:val="20"/>
        </w:rPr>
        <w:t xml:space="preserve">при осуществлении досрочного погашения Биржевых облигаций по требованию их владельцев в соответствии с п. 9.5.1 Программы биржевых облигаций; </w:t>
      </w:r>
    </w:p>
    <w:p w:rsidR="00355AB8" w:rsidRPr="00355AB8" w:rsidRDefault="00355AB8" w:rsidP="00355AB8">
      <w:pPr>
        <w:pStyle w:val="Default"/>
        <w:numPr>
          <w:ilvl w:val="0"/>
          <w:numId w:val="24"/>
        </w:numPr>
        <w:ind w:left="0" w:firstLine="567"/>
        <w:jc w:val="both"/>
        <w:rPr>
          <w:rFonts w:ascii="Arial" w:hAnsi="Arial" w:cs="Arial"/>
          <w:color w:val="auto"/>
          <w:sz w:val="20"/>
          <w:szCs w:val="20"/>
        </w:rPr>
      </w:pPr>
      <w:r w:rsidRPr="00355AB8">
        <w:rPr>
          <w:rFonts w:ascii="Arial" w:hAnsi="Arial" w:cs="Arial"/>
          <w:b/>
          <w:bCs/>
          <w:i/>
          <w:iCs/>
          <w:color w:val="auto"/>
          <w:sz w:val="20"/>
          <w:szCs w:val="20"/>
        </w:rPr>
        <w:t xml:space="preserve">при осуществлении платежей в пользу владельцев Биржевых облигаций в соответствующих случаях, указанных в п. 9.7 Программы биржевых облигаций. </w:t>
      </w:r>
    </w:p>
    <w:p w:rsidR="00355AB8" w:rsidRPr="00355AB8" w:rsidRDefault="00355AB8" w:rsidP="00355AB8">
      <w:pPr>
        <w:pStyle w:val="Default"/>
        <w:ind w:firstLine="567"/>
        <w:jc w:val="both"/>
        <w:rPr>
          <w:rFonts w:ascii="Arial" w:hAnsi="Arial" w:cs="Arial"/>
          <w:color w:val="auto"/>
          <w:sz w:val="20"/>
          <w:szCs w:val="20"/>
        </w:rPr>
      </w:pPr>
      <w:r w:rsidRPr="00355AB8">
        <w:rPr>
          <w:rFonts w:ascii="Arial" w:hAnsi="Arial" w:cs="Arial"/>
          <w:b/>
          <w:bCs/>
          <w:i/>
          <w:iCs/>
          <w:color w:val="auto"/>
          <w:sz w:val="20"/>
          <w:szCs w:val="20"/>
        </w:rPr>
        <w:t xml:space="preserve">Эмитент не может одновременно назначить нескольких платежных агентов. </w:t>
      </w:r>
    </w:p>
    <w:p w:rsidR="00355AB8" w:rsidRPr="00355AB8" w:rsidRDefault="00355AB8" w:rsidP="00355AB8">
      <w:pPr>
        <w:pStyle w:val="Default"/>
        <w:ind w:firstLine="567"/>
        <w:jc w:val="both"/>
        <w:rPr>
          <w:rFonts w:ascii="Arial" w:hAnsi="Arial" w:cs="Arial"/>
          <w:color w:val="auto"/>
          <w:sz w:val="20"/>
          <w:szCs w:val="20"/>
        </w:rPr>
      </w:pPr>
      <w:r w:rsidRPr="00355AB8">
        <w:rPr>
          <w:rFonts w:ascii="Arial" w:hAnsi="Arial" w:cs="Arial"/>
          <w:b/>
          <w:bCs/>
          <w:i/>
          <w:iCs/>
          <w:color w:val="auto"/>
          <w:sz w:val="20"/>
          <w:szCs w:val="20"/>
        </w:rPr>
        <w:t xml:space="preserve">Информация о назначении Эмитентом платежных агентов и отмене таких назначений раскрывается Эмитентом в порядке, указанном в п. 11 Программы биржевых облигаций и п. 8.11. раздела VIII Проспекта ценных бумаг. </w:t>
      </w:r>
    </w:p>
    <w:p w:rsidR="00BC7AAA" w:rsidRDefault="00BC7AAA" w:rsidP="00886DC8">
      <w:pPr>
        <w:widowControl/>
        <w:spacing w:before="0" w:after="0"/>
        <w:ind w:firstLine="540"/>
        <w:jc w:val="both"/>
        <w:rPr>
          <w:rFonts w:eastAsiaTheme="minorHAnsi"/>
          <w:lang w:eastAsia="en-US"/>
        </w:rPr>
      </w:pPr>
    </w:p>
    <w:p w:rsidR="00886DC8" w:rsidRPr="003F1D31" w:rsidRDefault="00886DC8" w:rsidP="00886DC8">
      <w:pPr>
        <w:widowControl/>
        <w:spacing w:before="0" w:after="0"/>
        <w:ind w:firstLine="540"/>
        <w:jc w:val="both"/>
        <w:outlineLvl w:val="2"/>
        <w:rPr>
          <w:rFonts w:ascii="Arial" w:eastAsiaTheme="minorHAnsi" w:hAnsi="Arial" w:cs="Arial"/>
          <w:b/>
          <w:sz w:val="26"/>
          <w:szCs w:val="26"/>
          <w:lang w:eastAsia="en-US"/>
        </w:rPr>
      </w:pPr>
      <w:bookmarkStart w:id="122" w:name="_Toc448251217"/>
      <w:r w:rsidRPr="003F1D31">
        <w:rPr>
          <w:rFonts w:ascii="Arial" w:eastAsiaTheme="minorHAnsi" w:hAnsi="Arial" w:cs="Arial"/>
          <w:b/>
          <w:sz w:val="26"/>
          <w:szCs w:val="26"/>
          <w:lang w:eastAsia="en-US"/>
        </w:rPr>
        <w:t>8.9.7. Сведения о действиях владельцев облигаций и порядке раскрытия информации в случае дефолта по облигациям</w:t>
      </w:r>
      <w:bookmarkEnd w:id="122"/>
    </w:p>
    <w:p w:rsidR="00A14EC6" w:rsidRDefault="00A14EC6" w:rsidP="00886DC8">
      <w:pPr>
        <w:widowControl/>
        <w:spacing w:before="0" w:after="0"/>
        <w:ind w:firstLine="540"/>
        <w:jc w:val="both"/>
        <w:rPr>
          <w:rFonts w:eastAsiaTheme="minorHAnsi"/>
          <w:lang w:eastAsia="en-US"/>
        </w:rPr>
      </w:pPr>
    </w:p>
    <w:p w:rsidR="00886DC8" w:rsidRPr="00886DC8" w:rsidRDefault="00886DC8" w:rsidP="00886DC8">
      <w:pPr>
        <w:widowControl/>
        <w:spacing w:before="0" w:after="0"/>
        <w:ind w:firstLine="540"/>
        <w:jc w:val="both"/>
        <w:rPr>
          <w:rFonts w:eastAsiaTheme="minorHAnsi"/>
          <w:lang w:eastAsia="en-US"/>
        </w:rPr>
      </w:pPr>
      <w:r w:rsidRPr="00886DC8">
        <w:rPr>
          <w:rFonts w:eastAsiaTheme="minorHAnsi"/>
          <w:lang w:eastAsia="en-US"/>
        </w:rPr>
        <w:t>Приводится описание действий владельцев облигаций в случае отказа эмитента от исполнения обязательств либо просрочки исполнения соответствующих обязательств по облигациям по вине эмитента (дефолт), в том числе:</w:t>
      </w:r>
    </w:p>
    <w:p w:rsidR="00886DC8" w:rsidRPr="00886DC8" w:rsidRDefault="00886DC8" w:rsidP="00886DC8">
      <w:pPr>
        <w:widowControl/>
        <w:spacing w:before="0" w:after="0"/>
        <w:ind w:firstLine="540"/>
        <w:jc w:val="both"/>
        <w:rPr>
          <w:rFonts w:eastAsiaTheme="minorHAnsi"/>
          <w:lang w:eastAsia="en-US"/>
        </w:rPr>
      </w:pPr>
      <w:r w:rsidRPr="00886DC8">
        <w:rPr>
          <w:rFonts w:eastAsiaTheme="minorHAnsi"/>
          <w:lang w:eastAsia="en-US"/>
        </w:rPr>
        <w:t>порядок обращения с требованием к эмитенту, лицам, несущим солидарную или субсидиарную ответственность по облигациям эмитента;</w:t>
      </w:r>
    </w:p>
    <w:p w:rsidR="00886DC8" w:rsidRPr="00886DC8" w:rsidRDefault="00886DC8" w:rsidP="00886DC8">
      <w:pPr>
        <w:widowControl/>
        <w:spacing w:before="0" w:after="0"/>
        <w:ind w:firstLine="540"/>
        <w:jc w:val="both"/>
        <w:rPr>
          <w:rFonts w:eastAsiaTheme="minorHAnsi"/>
          <w:lang w:eastAsia="en-US"/>
        </w:rPr>
      </w:pPr>
      <w:r w:rsidRPr="00886DC8">
        <w:rPr>
          <w:rFonts w:eastAsiaTheme="minorHAnsi"/>
          <w:lang w:eastAsia="en-US"/>
        </w:rPr>
        <w:t>порядок обращения с иском в суд или арбитражный суд (подведомственность и срок исковой давности).</w:t>
      </w:r>
    </w:p>
    <w:p w:rsidR="00886DC8" w:rsidRPr="00886DC8" w:rsidRDefault="00886DC8" w:rsidP="00886DC8">
      <w:pPr>
        <w:widowControl/>
        <w:spacing w:before="0" w:after="0"/>
        <w:ind w:firstLine="540"/>
        <w:jc w:val="both"/>
        <w:rPr>
          <w:rFonts w:eastAsiaTheme="minorHAnsi"/>
          <w:lang w:eastAsia="en-US"/>
        </w:rPr>
      </w:pPr>
      <w:r w:rsidRPr="00886DC8">
        <w:rPr>
          <w:rFonts w:eastAsiaTheme="minorHAnsi"/>
          <w:lang w:eastAsia="en-US"/>
        </w:rPr>
        <w:t>Указывается порядок раскрытия информации о неисполнении или ненадлежащем исполнении обязательств по облигациям, в том числе:</w:t>
      </w:r>
    </w:p>
    <w:p w:rsidR="00886DC8" w:rsidRPr="00886DC8" w:rsidRDefault="00886DC8" w:rsidP="00886DC8">
      <w:pPr>
        <w:widowControl/>
        <w:spacing w:before="0" w:after="0"/>
        <w:ind w:firstLine="540"/>
        <w:jc w:val="both"/>
        <w:rPr>
          <w:rFonts w:eastAsiaTheme="minorHAnsi"/>
          <w:lang w:eastAsia="en-US"/>
        </w:rPr>
      </w:pPr>
      <w:r w:rsidRPr="00886DC8">
        <w:rPr>
          <w:rFonts w:eastAsiaTheme="minorHAnsi"/>
          <w:lang w:eastAsia="en-US"/>
        </w:rPr>
        <w:t>содержание раскрываемой информации (объем неисполненных обязательств, причина неисполнения, перечисление возможных действий владельцев облигаций по удовлетворению своих требований);</w:t>
      </w:r>
    </w:p>
    <w:p w:rsidR="00886DC8" w:rsidRDefault="00886DC8" w:rsidP="00886DC8">
      <w:pPr>
        <w:widowControl/>
        <w:spacing w:before="0" w:after="0"/>
        <w:ind w:firstLine="540"/>
        <w:jc w:val="both"/>
        <w:rPr>
          <w:rFonts w:eastAsiaTheme="minorHAnsi"/>
          <w:lang w:eastAsia="en-US"/>
        </w:rPr>
      </w:pPr>
      <w:r w:rsidRPr="00886DC8">
        <w:rPr>
          <w:rFonts w:eastAsiaTheme="minorHAnsi"/>
          <w:lang w:eastAsia="en-US"/>
        </w:rPr>
        <w:t>формы, способы, сроки раскрытия информации.</w:t>
      </w:r>
    </w:p>
    <w:p w:rsidR="008E501A" w:rsidRDefault="008E501A" w:rsidP="00886DC8">
      <w:pPr>
        <w:widowControl/>
        <w:spacing w:before="0" w:after="0"/>
        <w:ind w:firstLine="540"/>
        <w:jc w:val="both"/>
        <w:rPr>
          <w:rFonts w:eastAsiaTheme="minorHAnsi"/>
          <w:lang w:eastAsia="en-US"/>
        </w:rPr>
      </w:pPr>
    </w:p>
    <w:p w:rsidR="00A14EC6" w:rsidRPr="00A14EC6" w:rsidRDefault="00A14EC6" w:rsidP="00A14EC6">
      <w:pPr>
        <w:pStyle w:val="Default"/>
        <w:ind w:firstLine="567"/>
        <w:jc w:val="both"/>
        <w:rPr>
          <w:rFonts w:ascii="Arial" w:hAnsi="Arial" w:cs="Arial"/>
          <w:b/>
          <w:bCs/>
          <w:i/>
          <w:iCs/>
          <w:color w:val="auto"/>
          <w:sz w:val="20"/>
          <w:szCs w:val="20"/>
        </w:rPr>
      </w:pPr>
      <w:r w:rsidRPr="00A14EC6">
        <w:rPr>
          <w:rFonts w:ascii="Arial" w:hAnsi="Arial" w:cs="Arial"/>
          <w:b/>
          <w:bCs/>
          <w:i/>
          <w:iCs/>
          <w:color w:val="auto"/>
          <w:sz w:val="20"/>
          <w:szCs w:val="20"/>
        </w:rPr>
        <w:t xml:space="preserve">В соответствии со ст. 809 и 810 Гражданского кодекса Российской Федерации Эмитент обязан возвратить владельцам Биржевых облигаций их номинальную стоимость (непогашенную часть номинальной стоимости) и выплатить купонный доход по Биржевым облигациям в срок и в порядке, которые предусмотрены настоящей Программой биржевых облигаций и соответствующими Условиями выпуска. </w:t>
      </w: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 xml:space="preserve">Неисполнение Эмитентом обязательств по Биржевым облигациям является существенным нарушением условий договора займа, заключенного путем выпуска и продажи Биржевых облигаций (далее также - дефолт), в случае: </w:t>
      </w:r>
    </w:p>
    <w:p w:rsidR="00A14EC6" w:rsidRPr="00A14EC6" w:rsidRDefault="00A14EC6" w:rsidP="00A14EC6">
      <w:pPr>
        <w:pStyle w:val="Default"/>
        <w:numPr>
          <w:ilvl w:val="0"/>
          <w:numId w:val="35"/>
        </w:numPr>
        <w:jc w:val="both"/>
        <w:rPr>
          <w:rFonts w:ascii="Arial" w:hAnsi="Arial" w:cs="Arial"/>
          <w:color w:val="auto"/>
          <w:sz w:val="20"/>
          <w:szCs w:val="20"/>
        </w:rPr>
      </w:pPr>
      <w:r w:rsidRPr="00A14EC6">
        <w:rPr>
          <w:rFonts w:ascii="Arial" w:hAnsi="Arial" w:cs="Arial"/>
          <w:b/>
          <w:bCs/>
          <w:i/>
          <w:iCs/>
          <w:color w:val="auto"/>
          <w:sz w:val="20"/>
          <w:szCs w:val="20"/>
        </w:rPr>
        <w:t xml:space="preserve">просрочки по вине Эмитента исполнения обязательства по выплате очередного процента (купона) по Биржевой облигации на срок более 10 (Десяти) рабочих дней или отказа Эмитента от исполнения указанного обязательства; </w:t>
      </w:r>
    </w:p>
    <w:p w:rsidR="00A14EC6" w:rsidRPr="00A14EC6" w:rsidRDefault="00A14EC6" w:rsidP="00A14EC6">
      <w:pPr>
        <w:pStyle w:val="Default"/>
        <w:numPr>
          <w:ilvl w:val="0"/>
          <w:numId w:val="35"/>
        </w:numPr>
        <w:jc w:val="both"/>
        <w:rPr>
          <w:rFonts w:ascii="Arial" w:hAnsi="Arial" w:cs="Arial"/>
          <w:color w:val="auto"/>
          <w:sz w:val="20"/>
          <w:szCs w:val="20"/>
        </w:rPr>
      </w:pPr>
      <w:r w:rsidRPr="00A14EC6">
        <w:rPr>
          <w:rFonts w:ascii="Arial" w:hAnsi="Arial" w:cs="Arial"/>
          <w:b/>
          <w:bCs/>
          <w:i/>
          <w:iCs/>
          <w:color w:val="auto"/>
          <w:sz w:val="20"/>
          <w:szCs w:val="20"/>
        </w:rPr>
        <w:t xml:space="preserve">просрочки по вине Эмитента исполнения обязательства по погашению номинальной стоимости (части номинальной стоимости в случае, если погашение номинальной стоимости осуществляется по частям) Биржевой облигации на срок более 10 (Десяти) рабочих дней или отказа Эмитента от исполнения указанного обязательства; </w:t>
      </w:r>
    </w:p>
    <w:p w:rsidR="00A14EC6" w:rsidRPr="00A14EC6" w:rsidRDefault="00A14EC6" w:rsidP="00A14EC6">
      <w:pPr>
        <w:pStyle w:val="Default"/>
        <w:numPr>
          <w:ilvl w:val="0"/>
          <w:numId w:val="35"/>
        </w:numPr>
        <w:jc w:val="both"/>
        <w:rPr>
          <w:rFonts w:ascii="Arial" w:hAnsi="Arial" w:cs="Arial"/>
          <w:color w:val="auto"/>
          <w:sz w:val="20"/>
          <w:szCs w:val="20"/>
        </w:rPr>
      </w:pPr>
      <w:r w:rsidRPr="00A14EC6">
        <w:rPr>
          <w:rFonts w:ascii="Arial" w:hAnsi="Arial" w:cs="Arial"/>
          <w:b/>
          <w:bCs/>
          <w:i/>
          <w:iCs/>
          <w:color w:val="auto"/>
          <w:sz w:val="20"/>
          <w:szCs w:val="20"/>
        </w:rPr>
        <w:t xml:space="preserve">просрочки по вине Эмитента исполнения обязательства по приобретению Биржевой облигации на срок более 10 (Десяти) рабочих дней или отказа Эмитента от исполнения указанного обязательства. </w:t>
      </w:r>
    </w:p>
    <w:p w:rsidR="00A14EC6" w:rsidRPr="00A14EC6" w:rsidRDefault="00A14EC6" w:rsidP="00A14EC6">
      <w:pPr>
        <w:pStyle w:val="Default"/>
        <w:jc w:val="both"/>
        <w:rPr>
          <w:rFonts w:ascii="Arial" w:hAnsi="Arial" w:cs="Arial"/>
          <w:color w:val="auto"/>
          <w:sz w:val="20"/>
          <w:szCs w:val="20"/>
        </w:rPr>
      </w:pP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 xml:space="preserve">Исполнение соответствующих обязательств с просрочкой, однако в течение сроков, указанных в определении дефолта, составляет технический дефолт. </w:t>
      </w:r>
    </w:p>
    <w:p w:rsidR="00A14EC6" w:rsidRPr="00A14EC6" w:rsidRDefault="00A14EC6" w:rsidP="00A14EC6">
      <w:pPr>
        <w:pStyle w:val="Default"/>
        <w:rPr>
          <w:rFonts w:ascii="Arial" w:hAnsi="Arial" w:cs="Arial"/>
          <w:color w:val="auto"/>
          <w:sz w:val="20"/>
          <w:szCs w:val="20"/>
        </w:rPr>
      </w:pPr>
    </w:p>
    <w:p w:rsidR="00A14EC6" w:rsidRPr="00A14EC6" w:rsidRDefault="00A14EC6" w:rsidP="00A14EC6">
      <w:pPr>
        <w:pStyle w:val="Default"/>
        <w:ind w:firstLine="567"/>
        <w:jc w:val="both"/>
        <w:rPr>
          <w:color w:val="auto"/>
          <w:sz w:val="20"/>
          <w:szCs w:val="20"/>
        </w:rPr>
      </w:pPr>
      <w:r w:rsidRPr="00A14EC6">
        <w:rPr>
          <w:color w:val="auto"/>
          <w:sz w:val="20"/>
          <w:szCs w:val="20"/>
        </w:rPr>
        <w:t xml:space="preserve">Порядок обращения с требованием к эмитенту. </w:t>
      </w: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 xml:space="preserve">1. В случаях, признаваемых в соответствии с пунктом 5 статьи 17.1 Федерального закона «О рынке ценных бумаг» существенным нарушением условий исполнения обязательств по Биржевым облигациям, владельцы Биржевых облигаций, уполномоченные ими лица вправе предъявлять Эмитенту требования об их досрочном погашении с момента наступления соответствующих событий и до даты раскрытия Эмитентом и (или) представителем владельцев Биржевых облигаций (в случае его назначения) информации об устранении нарушения. </w:t>
      </w:r>
    </w:p>
    <w:p w:rsidR="00A14EC6" w:rsidRPr="00A14EC6" w:rsidRDefault="00A14EC6" w:rsidP="00A14EC6">
      <w:pPr>
        <w:pStyle w:val="Default"/>
        <w:ind w:firstLine="567"/>
        <w:rPr>
          <w:rFonts w:ascii="Arial" w:hAnsi="Arial" w:cs="Arial"/>
          <w:color w:val="auto"/>
          <w:sz w:val="20"/>
          <w:szCs w:val="20"/>
        </w:rPr>
      </w:pP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 xml:space="preserve">Порядок предъявления к Эмитенту требований о досрочном погашении Биржевых облигаций осуществляется в порядке, предусмотренном пунктом 9.5.1 Программы биржевых облигаций, с учетом особенностей, установленных статьей 17.1 Федерального закона «О рынке ценных бумаг». </w:t>
      </w: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 xml:space="preserve">Эмитент обязан погасить Биржевые облигации, предъявленные к досрочному погашению не позднее 7 (Семи) рабочих дней с даты получения соответствующего требования. </w:t>
      </w:r>
    </w:p>
    <w:p w:rsidR="00A14EC6" w:rsidRPr="00A14EC6" w:rsidRDefault="00A14EC6" w:rsidP="00A14EC6">
      <w:pPr>
        <w:pStyle w:val="Default"/>
        <w:ind w:firstLine="567"/>
        <w:jc w:val="both"/>
        <w:rPr>
          <w:rFonts w:ascii="Arial" w:hAnsi="Arial" w:cs="Arial"/>
          <w:b/>
          <w:bCs/>
          <w:i/>
          <w:iCs/>
          <w:color w:val="auto"/>
          <w:sz w:val="20"/>
          <w:szCs w:val="20"/>
        </w:rPr>
      </w:pP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 xml:space="preserve">2. В случае наступления дефолта владельцы Биржевых облигаций, уполномоченные ими лица вправе, не заявляя требований о досрочном погашении Биржевых облигаций, обратиться к Эмитенту с требованием (претензией): </w:t>
      </w:r>
    </w:p>
    <w:p w:rsidR="00A14EC6" w:rsidRPr="00A14EC6" w:rsidRDefault="00A14EC6" w:rsidP="00A14EC6">
      <w:pPr>
        <w:pStyle w:val="Default"/>
        <w:numPr>
          <w:ilvl w:val="0"/>
          <w:numId w:val="36"/>
        </w:numPr>
        <w:ind w:left="0" w:firstLine="567"/>
        <w:jc w:val="both"/>
        <w:rPr>
          <w:rFonts w:ascii="Arial" w:hAnsi="Arial" w:cs="Arial"/>
          <w:color w:val="auto"/>
          <w:sz w:val="20"/>
          <w:szCs w:val="20"/>
        </w:rPr>
      </w:pPr>
      <w:r w:rsidRPr="00A14EC6">
        <w:rPr>
          <w:rFonts w:ascii="Arial" w:hAnsi="Arial" w:cs="Arial"/>
          <w:b/>
          <w:bCs/>
          <w:i/>
          <w:iCs/>
          <w:color w:val="auto"/>
          <w:sz w:val="20"/>
          <w:szCs w:val="20"/>
        </w:rPr>
        <w:t xml:space="preserve">в случае наступления дефолта по выплате очередного процента (купона) по Биржевым облигациям - выплатить начисленный, но не выплаченный купонный доход, а также проценты за несвоевременную выплату купонного дохода в соответствии со статьями 395 и 811 Гражданского кодекса Российской Федерации; </w:t>
      </w:r>
    </w:p>
    <w:p w:rsidR="00A14EC6" w:rsidRPr="00A14EC6" w:rsidRDefault="00A14EC6" w:rsidP="00A14EC6">
      <w:pPr>
        <w:pStyle w:val="Default"/>
        <w:numPr>
          <w:ilvl w:val="0"/>
          <w:numId w:val="36"/>
        </w:numPr>
        <w:ind w:left="0" w:firstLine="567"/>
        <w:jc w:val="both"/>
        <w:rPr>
          <w:rFonts w:ascii="Arial" w:hAnsi="Arial" w:cs="Arial"/>
          <w:color w:val="auto"/>
          <w:sz w:val="20"/>
          <w:szCs w:val="20"/>
        </w:rPr>
      </w:pPr>
      <w:r w:rsidRPr="00A14EC6">
        <w:rPr>
          <w:rFonts w:ascii="Arial" w:hAnsi="Arial" w:cs="Arial"/>
          <w:b/>
          <w:bCs/>
          <w:i/>
          <w:iCs/>
          <w:color w:val="auto"/>
          <w:sz w:val="20"/>
          <w:szCs w:val="20"/>
        </w:rPr>
        <w:t xml:space="preserve">в случае наступления дефолта по погашению номинальной стоимости (части номинальной стоимости в случае, если погашение номинальной стоимости осуществляется по частям) Биржевых облигаций - выплатить номинальную стоимость (соответствующую часть номинальной стоимости) Биржевых облигаций, а также проценты за несвоевременную выплату номинальной стоимости (части номинальной стоимости) в соответствии со статьями 395 и 811 Гражданского кодекса Российской Федерации; </w:t>
      </w:r>
    </w:p>
    <w:p w:rsidR="00A14EC6" w:rsidRPr="00A14EC6" w:rsidRDefault="00A14EC6" w:rsidP="00A14EC6">
      <w:pPr>
        <w:pStyle w:val="Default"/>
        <w:numPr>
          <w:ilvl w:val="0"/>
          <w:numId w:val="36"/>
        </w:numPr>
        <w:ind w:left="0" w:firstLine="567"/>
        <w:jc w:val="both"/>
        <w:rPr>
          <w:rFonts w:ascii="Arial" w:hAnsi="Arial" w:cs="Arial"/>
          <w:color w:val="auto"/>
          <w:sz w:val="20"/>
          <w:szCs w:val="20"/>
        </w:rPr>
      </w:pPr>
      <w:r w:rsidRPr="00A14EC6">
        <w:rPr>
          <w:rFonts w:ascii="Arial" w:hAnsi="Arial" w:cs="Arial"/>
          <w:b/>
          <w:bCs/>
          <w:i/>
          <w:iCs/>
          <w:color w:val="auto"/>
          <w:sz w:val="20"/>
          <w:szCs w:val="20"/>
        </w:rPr>
        <w:t xml:space="preserve">в случае наступления дефолта по приобретению Биржевых облигаций – исполнить обязательства по приобретению Биржевых облигаций по установленной в соответствии с пунктом 10 Программы биржевых облигаций цене приобретения, а также уплатить проценты за несвоевременное исполнение обязательств по приобретению в соответствии со статьями 395 и 811 Гражданского кодекса Российской Федерации. </w:t>
      </w:r>
    </w:p>
    <w:p w:rsidR="00A14EC6" w:rsidRPr="00A14EC6" w:rsidRDefault="00A14EC6" w:rsidP="00A14EC6">
      <w:pPr>
        <w:pStyle w:val="Default"/>
        <w:ind w:firstLine="567"/>
        <w:jc w:val="both"/>
        <w:rPr>
          <w:rFonts w:ascii="Arial" w:hAnsi="Arial" w:cs="Arial"/>
          <w:b/>
          <w:bCs/>
          <w:i/>
          <w:iCs/>
          <w:color w:val="auto"/>
          <w:sz w:val="20"/>
          <w:szCs w:val="20"/>
        </w:rPr>
      </w:pPr>
      <w:r w:rsidRPr="00A14EC6">
        <w:rPr>
          <w:rFonts w:ascii="Arial" w:hAnsi="Arial" w:cs="Arial"/>
          <w:b/>
          <w:bCs/>
          <w:i/>
          <w:iCs/>
          <w:color w:val="auto"/>
          <w:sz w:val="20"/>
          <w:szCs w:val="20"/>
        </w:rPr>
        <w:t xml:space="preserve">В случае наступления технического дефолта владельцы Биржевых облигаций, уполномоченные ими лица вправе, начиная со дня, следующего за датой, в которую обязательство должно было быть исполнено, обратиться к Эмитенту с требованием (претензией) уплатить проценты за несвоевременное исполнение соответствующих обязательств по Биржевым облигациям в соответствии со статьями 395 и 811 Гражданского кодекса Российской Федерации. </w:t>
      </w:r>
    </w:p>
    <w:p w:rsidR="00A14EC6" w:rsidRPr="00A14EC6" w:rsidRDefault="00A14EC6" w:rsidP="00A14EC6">
      <w:pPr>
        <w:pStyle w:val="Default"/>
        <w:ind w:firstLine="567"/>
        <w:jc w:val="both"/>
        <w:rPr>
          <w:rFonts w:ascii="Arial" w:hAnsi="Arial" w:cs="Arial"/>
          <w:b/>
          <w:bCs/>
          <w:i/>
          <w:iCs/>
          <w:color w:val="auto"/>
          <w:sz w:val="20"/>
          <w:szCs w:val="20"/>
        </w:rPr>
      </w:pPr>
      <w:r w:rsidRPr="00A14EC6">
        <w:rPr>
          <w:rFonts w:ascii="Arial" w:hAnsi="Arial" w:cs="Arial"/>
          <w:b/>
          <w:bCs/>
          <w:i/>
          <w:iCs/>
          <w:color w:val="auto"/>
          <w:sz w:val="20"/>
          <w:szCs w:val="20"/>
        </w:rPr>
        <w:t>При этом, к денежным обязательствам Эмитента положения статьи 317.1 Гражданского Кодекса Российской Федерации не применяются.</w:t>
      </w:r>
    </w:p>
    <w:p w:rsidR="00A14EC6" w:rsidRPr="00A14EC6" w:rsidRDefault="00A14EC6" w:rsidP="00A14EC6">
      <w:pPr>
        <w:pStyle w:val="Default"/>
        <w:ind w:firstLine="567"/>
        <w:jc w:val="both"/>
        <w:rPr>
          <w:rFonts w:ascii="Arial" w:hAnsi="Arial" w:cs="Arial"/>
          <w:color w:val="auto"/>
          <w:sz w:val="20"/>
          <w:szCs w:val="20"/>
        </w:rPr>
      </w:pP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 xml:space="preserve">Требование к Эмитенту должно быть предъявлено в письменной форме, поименовано «Претензия» и подписано владельцем Биржевых облигаций или уполномоченным им лицом, в том числе уполномоченным лицом номинального держателя Биржевых облигаций. </w:t>
      </w: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 xml:space="preserve">Владелец Биржевой облигации либо уполномоченное им лицо, представляет Эмитенту Претензию с приложением следующих документов: </w:t>
      </w: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 xml:space="preserve">- копии выписки по счету депо владельца Биржевых облигаций, </w:t>
      </w: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 xml:space="preserve">- документов, подтверждающих полномочия лиц, подписавших Претензию от имени владельца Биржевых облигаций (в случае предъявления Претензии уполномоченным владельцем Биржевых облигаций лицом). </w:t>
      </w: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 xml:space="preserve">Претензия в обязательном порядке должна содержать следующие сведения: </w:t>
      </w: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 xml:space="preserve">- полное наименование (Ф.И.О.) владельца Биржевых облигаций и лица, уполномоченного владельцем Биржевых облигаций получать выплаты по Биржевым облигациям; </w:t>
      </w: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 xml:space="preserve">- идентификационный номер выпуска Биржевых облигаций и дату принятия ФБ ММВБ решения о допуске Биржевых облигаций к торгам в процессе их размещения; </w:t>
      </w: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 xml:space="preserve">- количество Биржевых облигаций (цифрами и прописью), принадлежащих владельцу Биржевых облигаций; и </w:t>
      </w: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 xml:space="preserve">- наименование события, давшее право владельцу Биржевых облигаций обратиться с данным требованием к Эмитенту </w:t>
      </w:r>
    </w:p>
    <w:p w:rsidR="00A14EC6" w:rsidRPr="00A14EC6" w:rsidRDefault="00A14EC6" w:rsidP="00A14EC6">
      <w:pPr>
        <w:pStyle w:val="Default"/>
        <w:ind w:firstLine="567"/>
        <w:jc w:val="both"/>
        <w:rPr>
          <w:rFonts w:ascii="Arial" w:hAnsi="Arial" w:cs="Arial"/>
          <w:b/>
          <w:bCs/>
          <w:i/>
          <w:iCs/>
          <w:color w:val="auto"/>
          <w:sz w:val="20"/>
          <w:szCs w:val="20"/>
        </w:rPr>
      </w:pPr>
      <w:r w:rsidRPr="00A14EC6">
        <w:rPr>
          <w:rFonts w:ascii="Arial" w:hAnsi="Arial" w:cs="Arial"/>
          <w:b/>
          <w:bCs/>
          <w:i/>
          <w:iCs/>
          <w:color w:val="auto"/>
          <w:sz w:val="20"/>
          <w:szCs w:val="20"/>
        </w:rPr>
        <w:t xml:space="preserve">- место нахождения и почтовый адрес лица, направившего Претензию; </w:t>
      </w: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 xml:space="preserve">- реквизиты банковского счёта владельца Биржевых облигаций или лица, уполномоченного получать выплаты по Биржевым облигациям; </w:t>
      </w: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 xml:space="preserve">- идентификационный номер налогоплательщика (ИНН) лица, уполномоченного получать выплаты по Биржевым облигациям при его наличии; </w:t>
      </w: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 xml:space="preserve">- налоговый статус владельца Биржевых облигаций, а также лица, уполномоченного получать выплаты по Биржевым облигациям (физическое лицо, являющееся резидентом Российской Федерации, физическое лицо, не являющееся резидентом Российской Федерации, российские организации, иностранные организации, осуществляющие свою деятельность в Российской Федерации через постоянные представительства и (или) получающие доходы от источников в Российской Федерации и т.д.); </w:t>
      </w: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 xml:space="preserve">- код причины постановки на учет (КПП) лица, уполномоченного получать выплаты по Биржевым облигациям; </w:t>
      </w: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 xml:space="preserve">- код ОКПО; </w:t>
      </w: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 xml:space="preserve">- код ОКВЭД; </w:t>
      </w: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 xml:space="preserve">- БИК (для кредитных организаций). </w:t>
      </w: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 xml:space="preserve">В том случае, если владелец Биржевых облигаций является иностранной организацией, осуществляющей свою деятельность в Российской Федерации через постоянное представительство и (или) получающей доходы от источников в Российской Федерации, или физическим лицом, не являющимся налоговым резидентом Российской Федерации, то в Претензии необходимо дополнительно указать следующую информацию: </w:t>
      </w: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 xml:space="preserve">- место нахождения (или регистрации - для физических лиц) и почтовый адрес, включая индекс, владельца Биржевых облигаций; </w:t>
      </w: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 xml:space="preserve">- идентификационный номер налогоплательщика (ИНН) владельца Биржевых облигаций; </w:t>
      </w: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В случае если владельцем Биржевых облигаций является иностранная организация,</w:t>
      </w:r>
      <w:r w:rsidRPr="00A14EC6">
        <w:rPr>
          <w:rFonts w:ascii="Arial" w:hAnsi="Arial" w:cs="Arial"/>
          <w:sz w:val="20"/>
          <w:szCs w:val="20"/>
        </w:rPr>
        <w:t xml:space="preserve"> </w:t>
      </w:r>
      <w:r w:rsidRPr="00A14EC6">
        <w:rPr>
          <w:rFonts w:ascii="Arial" w:hAnsi="Arial" w:cs="Arial"/>
          <w:b/>
          <w:bCs/>
          <w:i/>
          <w:iCs/>
          <w:color w:val="auto"/>
          <w:sz w:val="20"/>
          <w:szCs w:val="20"/>
        </w:rPr>
        <w:t xml:space="preserve">осуществляющая свою деятельность в Российской Федерации через постоянное представительство и (или) получающая доходы от источников в Российской Федерации: </w:t>
      </w: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 xml:space="preserve">- код иностранной организации (КИО) - при наличии; </w:t>
      </w: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 xml:space="preserve">В случае если владельцем Биржевых облигаций является физическое лицо: </w:t>
      </w: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 xml:space="preserve">- вид, номер, дата и место выдачи документа, удостоверяющего личность владельца Облигаций, </w:t>
      </w: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 xml:space="preserve">- наименование органа, выдавшего документ; </w:t>
      </w: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 xml:space="preserve">- число, месяц и год рождения владельца Биржевых облигаций. </w:t>
      </w:r>
    </w:p>
    <w:p w:rsidR="00A14EC6" w:rsidRPr="00A14EC6" w:rsidRDefault="00A14EC6" w:rsidP="00A14EC6">
      <w:pPr>
        <w:pStyle w:val="Default"/>
        <w:ind w:firstLine="567"/>
        <w:jc w:val="both"/>
        <w:rPr>
          <w:rFonts w:ascii="Arial" w:hAnsi="Arial" w:cs="Arial"/>
          <w:b/>
          <w:bCs/>
          <w:i/>
          <w:iCs/>
          <w:color w:val="auto"/>
          <w:sz w:val="20"/>
          <w:szCs w:val="20"/>
        </w:rPr>
      </w:pPr>
      <w:r w:rsidRPr="00A14EC6">
        <w:rPr>
          <w:rFonts w:ascii="Arial" w:hAnsi="Arial" w:cs="Arial"/>
          <w:b/>
          <w:bCs/>
          <w:i/>
          <w:iCs/>
          <w:color w:val="auto"/>
          <w:sz w:val="20"/>
          <w:szCs w:val="20"/>
        </w:rPr>
        <w:t>Дополнительно к Претензии, к информации относительно физических лиц, не являющихся резидентами Российской Федерации и иностранных организаций, осуществляющих свою деятельность в Российской Федерации через постоянные представительства и (или) получающих доходы от источников в Российской Федерации, являющихся владельцами Биржевых облигаций, владелец Биржевых облигаций, либо лицо, уполномоченное владельцем Биржевых облигаций, обязан передать Эмитенту следующие документы, необходимые для применения налогового законодательства Российской Федерации и международных договоров и соглашений об избежании двойного налогообложения  при налогообложении доходов, полученных по Биржевым облигациям.</w:t>
      </w: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Лица, являющиеся владельцами Биржевых облигаций, а также лица, имеющие фактическое право на доход, выплачиваемый по Биржевым облигациям, также должны представить иные документы, необходимые в соответствии с законодательством Российской Федерации и международными договорами. Исчерпывающий перечень таких документов, а также информация о категориях лиц, в отношении которых предоставляются такие документы,  будет раскрыт Эмитентом не позднее дня раскрытия Эмитентом информации о неисполнения или ненадлежащего исполнения Эмитентом обязательств по Биржевым облигациям (в том числе дефолт или технический дефолт)</w:t>
      </w:r>
      <w:r w:rsidRPr="00A14EC6">
        <w:rPr>
          <w:rFonts w:ascii="Arial" w:hAnsi="Arial" w:cs="Arial"/>
          <w:sz w:val="20"/>
          <w:szCs w:val="20"/>
        </w:rPr>
        <w:t xml:space="preserve"> </w:t>
      </w:r>
      <w:r w:rsidRPr="00A14EC6">
        <w:rPr>
          <w:rFonts w:ascii="Arial" w:hAnsi="Arial" w:cs="Arial"/>
          <w:b/>
          <w:bCs/>
          <w:i/>
          <w:iCs/>
          <w:color w:val="auto"/>
          <w:sz w:val="20"/>
          <w:szCs w:val="20"/>
        </w:rPr>
        <w:t>в порядке, предусмотренном п. 11 Программы биржевых облигаций и п. 8.11. раздела VIII Проспекта ценных бумаг</w:t>
      </w:r>
      <w:r w:rsidRPr="00A14EC6">
        <w:rPr>
          <w:rStyle w:val="af1"/>
          <w:rFonts w:ascii="Arial" w:hAnsi="Arial" w:cs="Arial"/>
          <w:b/>
          <w:bCs/>
          <w:i/>
          <w:iCs/>
          <w:color w:val="auto"/>
          <w:sz w:val="20"/>
          <w:szCs w:val="20"/>
        </w:rPr>
        <w:footnoteReference w:id="9"/>
      </w:r>
      <w:r w:rsidRPr="00A14EC6">
        <w:rPr>
          <w:rFonts w:ascii="Arial" w:hAnsi="Arial" w:cs="Arial"/>
          <w:b/>
          <w:bCs/>
          <w:i/>
          <w:iCs/>
          <w:color w:val="auto"/>
          <w:sz w:val="20"/>
          <w:szCs w:val="20"/>
        </w:rPr>
        <w:t xml:space="preserve">. </w:t>
      </w:r>
      <w:r w:rsidRPr="00A14EC6">
        <w:rPr>
          <w:rFonts w:ascii="Arial" w:hAnsi="Arial" w:cs="Arial"/>
          <w:sz w:val="20"/>
          <w:szCs w:val="20"/>
        </w:rPr>
        <w:t xml:space="preserve"> </w:t>
      </w: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В случае непредоставления или несвоевременного предоставления указанных документов Эмитент не несет ответственности перед владельцами за неприменение соответствующих ставок налогообложения. В случае удержания налога с выплаченного дохода без применения пониженных ставок (освобождений от налогообложения), предусмотренных международным договором Российской Федерации по вопросам налогообложения, сумма такого налога признается суммой излишне уплаченного налога, а лицо, имеющее фактическое право на получение этого дохода, вправе обратиться за зачетом (возвратом) этого налога в порядке, установленном налоговым законодательством.</w:t>
      </w: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 xml:space="preserve">Претензия направляется заказным письмом с уведомлением о вручении и описью вложения по почтовому адресу Эмитента или вручается под расписку уполномоченному лицу Эмитента. Претензия рассматривается Эмитентом в течение 5 (Пяти) дней (далее – срок рассмотрения Претензии). </w:t>
      </w: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 xml:space="preserve">В случае, если Претензия содержит требование о выплате процентов за несвоевременное исполнение или неисполнение соответствующих обязательств по Биржевым облигациям в соответствии со статьей 395 Гражданского кодекса Российской Федерации, Эмитент в течение 3 (Трех) рабочих дней с даты окончания срока рассмотрения Претензии перечисляет причитающиеся суммы в адрес владельцев Биржевых облигаций, предъявивших Претензию. </w:t>
      </w: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 xml:space="preserve">В случае дефолта или технического дефолта исполнение Эмитентом обязательств по выплате номинальной стоимости (соответствующей части номинальной стоимости) Биржевых облигаций, по выплате купонного дохода за полный купонный период по Биржевым облигациям и по приобретению Биржевых облигаций (за исключением уплаты процентов за несвоевременное исполнение обязательств по Биржевым облигациям в соответствии со статьями 395 и 811 Гражданского кодекса Российской Федерации), осуществляется в порядке, предусмотренном для выплаты сумм погашения номинальной стоимости (части номинальной стоимости) Биржевых облигаций, процентного (купонного) дохода по ним, для приобретения Биржевых облигаций в п.9.2, п. 9.4. и п.10 Программы биржевых облигаций соответственно. </w:t>
      </w:r>
    </w:p>
    <w:p w:rsidR="00A14EC6" w:rsidRPr="00A14EC6" w:rsidRDefault="00A14EC6" w:rsidP="00A14EC6">
      <w:pPr>
        <w:pStyle w:val="Default"/>
        <w:ind w:firstLine="567"/>
        <w:jc w:val="both"/>
        <w:rPr>
          <w:rFonts w:ascii="Arial" w:hAnsi="Arial" w:cs="Arial"/>
          <w:color w:val="auto"/>
          <w:sz w:val="20"/>
          <w:szCs w:val="20"/>
        </w:rPr>
      </w:pPr>
      <w:r w:rsidRPr="00A14EC6">
        <w:rPr>
          <w:rFonts w:ascii="Arial" w:hAnsi="Arial" w:cs="Arial"/>
          <w:b/>
          <w:bCs/>
          <w:i/>
          <w:iCs/>
          <w:color w:val="auto"/>
          <w:sz w:val="20"/>
          <w:szCs w:val="20"/>
        </w:rPr>
        <w:t xml:space="preserve">В том случае, если будет удовлетворено хотя бы одно Требование (заявление) о досрочном погашении Биржевых облигаций, предъявленное в порядке, указанном в п. 9.5.1 Программы биржевых облигаций, в результате чего будет выплачена номинальная стоимость (непогашенная часть номинальной стоимости) Биржевой облигации и сумма купонного дохода за законченный купонный период, то выплата сумм номинальной стоимости (непогашенной части номинальной стоимости) и/или купонного дохода за законченный купонный период, причитающихся остальным владельцам, имеющим право на их получение в соответствии с п. 9.7 Программы биржевых облигаций, не может быть осуществлена в порядке, предусмотренном разделами 9.2 и 9.4 Программы биржевых облигаций. В таком случае Эмитент должен запросить у НРД предоставить список лиц, являющихся владельцами Биржевых облигаций на соответствующие даты (далее – Список). Для осуществления указанных в настоящем абзаце выплат владельцам, указанным в Списке, которые не предъявляли Требования, Эмитент должен обеспечить перечисление соответствующих сумм. </w:t>
      </w:r>
    </w:p>
    <w:p w:rsidR="008A56CB" w:rsidRDefault="008A56CB" w:rsidP="00A14EC6">
      <w:pPr>
        <w:pStyle w:val="Default"/>
        <w:ind w:firstLine="567"/>
        <w:jc w:val="both"/>
        <w:rPr>
          <w:color w:val="auto"/>
          <w:sz w:val="20"/>
          <w:szCs w:val="20"/>
        </w:rPr>
      </w:pPr>
    </w:p>
    <w:p w:rsidR="00A14EC6" w:rsidRPr="00A14EC6" w:rsidRDefault="00A14EC6" w:rsidP="00A14EC6">
      <w:pPr>
        <w:pStyle w:val="Default"/>
        <w:ind w:firstLine="567"/>
        <w:jc w:val="both"/>
        <w:rPr>
          <w:color w:val="auto"/>
          <w:sz w:val="20"/>
          <w:szCs w:val="20"/>
        </w:rPr>
      </w:pPr>
      <w:r w:rsidRPr="00A14EC6">
        <w:rPr>
          <w:color w:val="auto"/>
          <w:sz w:val="20"/>
          <w:szCs w:val="20"/>
        </w:rPr>
        <w:t xml:space="preserve">Порядок обращения с иском в суд или арбитражный суд. </w:t>
      </w:r>
    </w:p>
    <w:p w:rsidR="00A14EC6" w:rsidRPr="00A14EC6" w:rsidRDefault="00A14EC6" w:rsidP="00A14EC6">
      <w:pPr>
        <w:pStyle w:val="Default"/>
        <w:ind w:firstLine="567"/>
        <w:jc w:val="both"/>
        <w:rPr>
          <w:rFonts w:ascii="Arial" w:hAnsi="Arial" w:cs="Arial"/>
          <w:b/>
          <w:bCs/>
          <w:i/>
          <w:iCs/>
          <w:color w:val="auto"/>
          <w:sz w:val="20"/>
          <w:szCs w:val="20"/>
        </w:rPr>
      </w:pPr>
      <w:r w:rsidRPr="00A14EC6">
        <w:rPr>
          <w:rFonts w:ascii="Arial" w:hAnsi="Arial" w:cs="Arial"/>
          <w:b/>
          <w:bCs/>
          <w:i/>
          <w:iCs/>
          <w:color w:val="auto"/>
          <w:sz w:val="20"/>
          <w:szCs w:val="20"/>
        </w:rPr>
        <w:t xml:space="preserve">В случае, если уполномоченное лицо Эмитента отказалось получить под роспись Претензию или заказное письмо с Претензией либо Претензия, направленная по адресу Эмитента, указанному в ЕГРЮЛ, не вручена в связи с отсутствием Эмитента по указанному адресу, либо отказа Эмитента удовлетворить Претензию, владельцы Биржевых облигаций, уполномоченные ими лица, вправе обратиться в суд или арбитражный суд с иском к Эмитенту взыскании соответствующих сумм. </w:t>
      </w:r>
    </w:p>
    <w:p w:rsidR="00A14EC6" w:rsidRPr="00A14EC6" w:rsidRDefault="00A14EC6" w:rsidP="00A14EC6">
      <w:pPr>
        <w:pStyle w:val="Default"/>
        <w:ind w:firstLine="567"/>
        <w:jc w:val="both"/>
        <w:rPr>
          <w:rFonts w:ascii="Arial" w:hAnsi="Arial" w:cs="Arial"/>
          <w:b/>
          <w:bCs/>
          <w:i/>
          <w:iCs/>
          <w:color w:val="auto"/>
          <w:sz w:val="20"/>
          <w:szCs w:val="20"/>
        </w:rPr>
      </w:pPr>
      <w:r w:rsidRPr="00A14EC6">
        <w:rPr>
          <w:rFonts w:ascii="Arial" w:hAnsi="Arial" w:cs="Arial"/>
          <w:b/>
          <w:bCs/>
          <w:i/>
          <w:iCs/>
          <w:color w:val="auto"/>
          <w:sz w:val="20"/>
          <w:szCs w:val="20"/>
        </w:rPr>
        <w:t>В случае предъявления предусмотренной настоящей Программой Претензии хотя бы одним владельцем Биржевых облигаций или в интересах хотя бы одного владельца Биржевых облигаций, меры по досудебному урегулированию спора между Эмитентом и данным конкретным владельцем Биржевых облигаций считаются принятыми. В случае предъявления предусмотренной настоящей Программой Претензии представителем владельцев Биржевых облигаций меры по досудебному урегулированию спора между Эмитентом и всеми владельцами Биржевых облигаций считаются принятыми.</w:t>
      </w:r>
    </w:p>
    <w:p w:rsidR="00A14EC6" w:rsidRPr="00A14EC6" w:rsidRDefault="00A14EC6" w:rsidP="00A14EC6">
      <w:pPr>
        <w:pStyle w:val="Default"/>
        <w:ind w:firstLine="567"/>
        <w:jc w:val="both"/>
        <w:rPr>
          <w:rFonts w:ascii="Arial" w:hAnsi="Arial" w:cs="Arial"/>
          <w:b/>
          <w:bCs/>
          <w:i/>
          <w:iCs/>
          <w:color w:val="auto"/>
          <w:sz w:val="20"/>
          <w:szCs w:val="20"/>
        </w:rPr>
      </w:pPr>
      <w:r w:rsidRPr="00A14EC6">
        <w:rPr>
          <w:rFonts w:ascii="Arial" w:hAnsi="Arial" w:cs="Arial"/>
          <w:b/>
          <w:bCs/>
          <w:i/>
          <w:iCs/>
          <w:color w:val="auto"/>
          <w:sz w:val="20"/>
          <w:szCs w:val="20"/>
        </w:rPr>
        <w:t xml:space="preserve">В случае неперечисления или перечисления не в полном объеме Эмитентом причитающихся владельцам Биржевых облигаций сумм по выплате номинальной стоимости Биржевых облигаций, по выплате купонного дохода по ним, по приобретению Биржевых облигаций, а также процентов за несвоевременное исполнение соответствующих обязательств по Биржевым облигациям в соответствии со статье 395 Гражданского кодекса Российской Федерации, владельцы Биржевых облигаций или уполномоченные ими лица вправе обратиться в суд или арбитражный суд с иском к Эмитенту о взыскании соответствующих сумм. </w:t>
      </w:r>
    </w:p>
    <w:p w:rsidR="00A14EC6" w:rsidRPr="00A14EC6" w:rsidRDefault="00A14EC6" w:rsidP="00A14EC6">
      <w:pPr>
        <w:pStyle w:val="Default"/>
        <w:ind w:firstLine="567"/>
        <w:jc w:val="both"/>
        <w:rPr>
          <w:rFonts w:ascii="Arial" w:hAnsi="Arial" w:cs="Arial"/>
          <w:b/>
          <w:bCs/>
          <w:i/>
          <w:iCs/>
          <w:color w:val="auto"/>
          <w:sz w:val="20"/>
          <w:szCs w:val="20"/>
        </w:rPr>
      </w:pPr>
      <w:r w:rsidRPr="00A14EC6">
        <w:rPr>
          <w:rFonts w:ascii="Arial" w:hAnsi="Arial" w:cs="Arial"/>
          <w:b/>
          <w:bCs/>
          <w:i/>
          <w:iCs/>
          <w:color w:val="auto"/>
          <w:sz w:val="20"/>
          <w:szCs w:val="20"/>
        </w:rPr>
        <w:t xml:space="preserve">При этом, в случае назначения представителя владельцев Биржевых облигаций в соответствии со статьей 29.1 Федерального закона «О рынке ценных бумаг», владельцы Биржевых облигаций не вправе в индивидуальном порядке обращаться с требованиями в суд или арбитражный суд, если иное не предусмотрено Федеральным законом «О рынке ценных бумаг», условиями выпуска Биржевых облигаций или решением общего собрания владельцев Биржевых облигаций. </w:t>
      </w:r>
    </w:p>
    <w:p w:rsidR="00A14EC6" w:rsidRPr="00A14EC6" w:rsidRDefault="00A14EC6" w:rsidP="00A14EC6">
      <w:pPr>
        <w:pStyle w:val="Default"/>
        <w:ind w:firstLine="567"/>
        <w:jc w:val="both"/>
        <w:rPr>
          <w:rFonts w:ascii="Arial" w:hAnsi="Arial" w:cs="Arial"/>
          <w:b/>
          <w:bCs/>
          <w:i/>
          <w:iCs/>
          <w:color w:val="auto"/>
          <w:sz w:val="20"/>
          <w:szCs w:val="20"/>
        </w:rPr>
      </w:pPr>
      <w:r w:rsidRPr="00A14EC6">
        <w:rPr>
          <w:rFonts w:ascii="Arial" w:hAnsi="Arial" w:cs="Arial"/>
          <w:b/>
          <w:bCs/>
          <w:i/>
          <w:iCs/>
          <w:color w:val="auto"/>
          <w:sz w:val="20"/>
          <w:szCs w:val="20"/>
        </w:rPr>
        <w:t>Владельцы Биржевых облигаций вправе в индивидуальном порядке обращаться с требованиями в суд или арбитражный суд по истечении одного месяца с момента возникновения оснований для такого обращения в случае, если в указанный срок представитель владельцев Биржевых облигаций не обратился в суд или арбитражный суд с соответствующим требованием или в указанный срок общим собранием владельцев Биржевых облигаций не принято решение об отказе от права обращаться в суд или арбитражный суд с таким требованием.    </w:t>
      </w:r>
    </w:p>
    <w:p w:rsidR="00A14EC6" w:rsidRPr="00A14EC6" w:rsidRDefault="00A14EC6" w:rsidP="00A14EC6">
      <w:pPr>
        <w:pStyle w:val="Default"/>
        <w:ind w:firstLine="567"/>
        <w:jc w:val="both"/>
        <w:rPr>
          <w:rFonts w:ascii="Arial" w:hAnsi="Arial" w:cs="Arial"/>
          <w:b/>
          <w:bCs/>
          <w:i/>
          <w:iCs/>
          <w:color w:val="auto"/>
          <w:sz w:val="20"/>
          <w:szCs w:val="20"/>
        </w:rPr>
      </w:pPr>
      <w:r w:rsidRPr="00A14EC6">
        <w:rPr>
          <w:rFonts w:ascii="Arial" w:hAnsi="Arial" w:cs="Arial"/>
          <w:b/>
          <w:bCs/>
          <w:i/>
          <w:iCs/>
          <w:color w:val="auto"/>
          <w:sz w:val="20"/>
          <w:szCs w:val="20"/>
        </w:rPr>
        <w:t xml:space="preserve">Владельцы Биржевых облигаций могут обратиться с соответствующими исковыми заявлениями в суд или арбитражный суд  по месту нахождения ответчика. </w:t>
      </w:r>
    </w:p>
    <w:p w:rsidR="00A14EC6" w:rsidRPr="00A14EC6" w:rsidRDefault="00A14EC6" w:rsidP="00A14EC6">
      <w:pPr>
        <w:pStyle w:val="Default"/>
        <w:ind w:firstLine="567"/>
        <w:jc w:val="both"/>
        <w:rPr>
          <w:rFonts w:ascii="Arial" w:hAnsi="Arial" w:cs="Arial"/>
          <w:b/>
          <w:bCs/>
          <w:i/>
          <w:iCs/>
          <w:color w:val="auto"/>
          <w:sz w:val="20"/>
          <w:szCs w:val="20"/>
        </w:rPr>
      </w:pPr>
      <w:r w:rsidRPr="00A14EC6">
        <w:rPr>
          <w:rFonts w:ascii="Arial" w:hAnsi="Arial" w:cs="Arial"/>
          <w:b/>
          <w:bCs/>
          <w:i/>
          <w:iCs/>
          <w:color w:val="auto"/>
          <w:sz w:val="20"/>
          <w:szCs w:val="20"/>
        </w:rPr>
        <w:t>Подведомственность споров суду общей юрисдикции или арбитражному суду определяется в соответствии с нормами статьи 22 Гражданско-процессуального кодекса РФ и статьи 27 Арбитражно-процессуального кодекса РФ</w:t>
      </w:r>
    </w:p>
    <w:p w:rsidR="00A14EC6" w:rsidRPr="00A14EC6" w:rsidRDefault="00A14EC6" w:rsidP="00A14EC6">
      <w:pPr>
        <w:pStyle w:val="Default"/>
        <w:ind w:firstLine="567"/>
        <w:jc w:val="both"/>
        <w:rPr>
          <w:rFonts w:ascii="Arial" w:hAnsi="Arial" w:cs="Arial"/>
          <w:b/>
          <w:bCs/>
          <w:i/>
          <w:iCs/>
          <w:color w:val="auto"/>
          <w:sz w:val="20"/>
          <w:szCs w:val="20"/>
        </w:rPr>
      </w:pPr>
      <w:r w:rsidRPr="00A14EC6">
        <w:rPr>
          <w:rFonts w:ascii="Arial" w:hAnsi="Arial" w:cs="Arial"/>
          <w:b/>
          <w:bCs/>
          <w:i/>
          <w:iCs/>
          <w:color w:val="auto"/>
          <w:sz w:val="20"/>
          <w:szCs w:val="20"/>
        </w:rPr>
        <w:t>Общий срок исковой давности согласно статье 196 Гражданского кодекса Российской Федерации устанавливается в три года. В соответствии со статьей 200 Гражданского кодекса Российской Федерации течение срока исковой давности начинается по окончании срока исполнения обязательств Эмитента.</w:t>
      </w:r>
    </w:p>
    <w:p w:rsidR="00A14EC6" w:rsidRDefault="00A14EC6" w:rsidP="00A14EC6">
      <w:pPr>
        <w:pStyle w:val="Default"/>
        <w:rPr>
          <w:color w:val="auto"/>
          <w:sz w:val="22"/>
          <w:szCs w:val="22"/>
        </w:rPr>
      </w:pPr>
    </w:p>
    <w:p w:rsidR="00A14EC6" w:rsidRPr="008A56CB" w:rsidRDefault="00A14EC6" w:rsidP="00A06BCF">
      <w:pPr>
        <w:pStyle w:val="Default"/>
        <w:ind w:firstLine="567"/>
        <w:jc w:val="both"/>
        <w:rPr>
          <w:color w:val="auto"/>
          <w:sz w:val="20"/>
          <w:szCs w:val="20"/>
        </w:rPr>
      </w:pPr>
      <w:r w:rsidRPr="008A56CB">
        <w:rPr>
          <w:color w:val="auto"/>
          <w:sz w:val="20"/>
          <w:szCs w:val="20"/>
        </w:rPr>
        <w:t xml:space="preserve">Порядок раскрытия информации о неисполнении или ненадлежащем исполнением обязательств по облигациям: </w:t>
      </w:r>
    </w:p>
    <w:p w:rsidR="00A14EC6" w:rsidRPr="008A56CB" w:rsidRDefault="00A14EC6" w:rsidP="00A14EC6">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В случае неисполнения или ненадлежащего исполнения Эмитентом обязательств по Биржевым облигациям (в том числе дефолт или технический дефолт), Эмитент публикует информацию об этом в форме сообщения о существенном факте в порядке, предусмотренном п. 11 Программы биржевых облигаций и п. 8.11. раздела VIII Проспекта ценных бумаг. </w:t>
      </w:r>
    </w:p>
    <w:p w:rsidR="00A14EC6" w:rsidRPr="008A56CB" w:rsidRDefault="00A14EC6" w:rsidP="00A14EC6">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Указанное сообщение, в том числе должно содержать объем неисполненных обязательств, причину неисполнения обязательств, перечисление возможных действий владельцев Биржевых облигаций по удовлетворению своих требований. </w:t>
      </w:r>
    </w:p>
    <w:p w:rsidR="00A14EC6" w:rsidRPr="008A56CB" w:rsidRDefault="00A14EC6" w:rsidP="00A14EC6">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При этом публикация на странице Эмитента в сети Интернет осуществляется после публикации в ленте новостей</w:t>
      </w:r>
      <w:r w:rsidRPr="008A56CB">
        <w:rPr>
          <w:rFonts w:ascii="Arial" w:hAnsi="Arial" w:cs="Arial"/>
          <w:color w:val="auto"/>
          <w:sz w:val="20"/>
          <w:szCs w:val="20"/>
        </w:rPr>
        <w:t xml:space="preserve">. </w:t>
      </w:r>
    </w:p>
    <w:p w:rsidR="00886DC8" w:rsidRPr="00886DC8" w:rsidRDefault="00886DC8" w:rsidP="00886DC8">
      <w:pPr>
        <w:widowControl/>
        <w:spacing w:before="0" w:after="0"/>
        <w:jc w:val="both"/>
        <w:rPr>
          <w:rFonts w:eastAsiaTheme="minorHAnsi"/>
          <w:lang w:eastAsia="en-US"/>
        </w:rPr>
      </w:pPr>
    </w:p>
    <w:p w:rsidR="00886DC8" w:rsidRPr="003F1D31" w:rsidRDefault="00886DC8" w:rsidP="00886DC8">
      <w:pPr>
        <w:widowControl/>
        <w:spacing w:before="0" w:after="0"/>
        <w:ind w:firstLine="540"/>
        <w:jc w:val="both"/>
        <w:outlineLvl w:val="1"/>
        <w:rPr>
          <w:rFonts w:ascii="Arial" w:eastAsiaTheme="minorHAnsi" w:hAnsi="Arial" w:cs="Arial"/>
          <w:b/>
          <w:i/>
          <w:sz w:val="28"/>
          <w:szCs w:val="28"/>
          <w:lang w:eastAsia="en-US"/>
        </w:rPr>
      </w:pPr>
      <w:bookmarkStart w:id="123" w:name="_Toc448251218"/>
      <w:r w:rsidRPr="003F1D31">
        <w:rPr>
          <w:rFonts w:ascii="Arial" w:eastAsiaTheme="minorHAnsi" w:hAnsi="Arial" w:cs="Arial"/>
          <w:b/>
          <w:i/>
          <w:sz w:val="28"/>
          <w:szCs w:val="28"/>
          <w:lang w:eastAsia="en-US"/>
        </w:rPr>
        <w:t>8.10. Сведения о приобретении облигаций</w:t>
      </w:r>
      <w:bookmarkEnd w:id="123"/>
    </w:p>
    <w:p w:rsidR="00E0142D" w:rsidRDefault="00E0142D" w:rsidP="00886DC8">
      <w:pPr>
        <w:widowControl/>
        <w:spacing w:before="0" w:after="0"/>
        <w:ind w:firstLine="540"/>
        <w:jc w:val="both"/>
        <w:rPr>
          <w:rFonts w:eastAsiaTheme="minorHAnsi"/>
          <w:lang w:eastAsia="en-US"/>
        </w:rPr>
      </w:pPr>
    </w:p>
    <w:p w:rsidR="00886DC8" w:rsidRPr="00886DC8" w:rsidRDefault="00886DC8" w:rsidP="00886DC8">
      <w:pPr>
        <w:widowControl/>
        <w:spacing w:before="0" w:after="0"/>
        <w:ind w:firstLine="540"/>
        <w:jc w:val="both"/>
        <w:rPr>
          <w:rFonts w:eastAsiaTheme="minorHAnsi"/>
          <w:lang w:eastAsia="en-US"/>
        </w:rPr>
      </w:pPr>
      <w:r w:rsidRPr="00886DC8">
        <w:rPr>
          <w:rFonts w:eastAsiaTheme="minorHAnsi"/>
          <w:lang w:eastAsia="en-US"/>
        </w:rPr>
        <w:t>Указывается возможность приобретения облигаций эмитентом по соглашению с их владельцами и (или) по требованию владельцев облигаций с возможностью их последующего обращения. В случае установления такой возможности указываются также порядок и условия приобретения облигаций, включая срок (порядок определения срока) приобретения облигаций, порядок принятия уполномоченным органом эмитента решения о приобретении облигаций, порядок раскрытия эмитентом информации об условиях и итогах приобретения облигаций, а также иные условия приобретения облигаций.</w:t>
      </w:r>
    </w:p>
    <w:p w:rsidR="00886DC8" w:rsidRPr="00886DC8" w:rsidRDefault="00886DC8" w:rsidP="00886DC8">
      <w:pPr>
        <w:widowControl/>
        <w:spacing w:before="0" w:after="0"/>
        <w:ind w:firstLine="540"/>
        <w:jc w:val="both"/>
        <w:rPr>
          <w:rFonts w:eastAsiaTheme="minorHAnsi"/>
          <w:lang w:eastAsia="en-US"/>
        </w:rPr>
      </w:pPr>
      <w:r w:rsidRPr="00886DC8">
        <w:rPr>
          <w:rFonts w:eastAsiaTheme="minorHAnsi"/>
          <w:lang w:eastAsia="en-US"/>
        </w:rPr>
        <w:t>В случае если возможность приобретения облигаций эмитентом не предусматривается, указывается на это обстоятельство.</w:t>
      </w:r>
    </w:p>
    <w:p w:rsidR="00886DC8" w:rsidRDefault="00886DC8" w:rsidP="00886DC8">
      <w:pPr>
        <w:widowControl/>
        <w:spacing w:before="0" w:after="0"/>
        <w:jc w:val="both"/>
        <w:rPr>
          <w:rFonts w:eastAsiaTheme="minorHAnsi"/>
          <w:lang w:eastAsia="en-US"/>
        </w:rPr>
      </w:pP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Предусматривается возможность приобретения Эмитентом Биржевых облигаций по соглашению с их владельцем (владельцами) и обязанность приобретения Эмитентом Биржевых облигаций по требованию их владельца (владельцев) с возможностью их последующего обращения. Приобретение Биржевых облигаций допускается только после их полной оплаты. Эмитент имеет право приобретать Биржевые облигации путем заключения сделок по приобретению Биржевых облигаций с владельцами Биржевых облигаций в соответствии с законодательством Российской Федерации, в том числе на основании публичных безотзывных оферт Эмитента, публикуемых в ленте новостей.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Для целей настоящего пункта вводится следующее обозначение: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Агент по приобретению – Участник торгов, уполномоченный Эмитентом на приобретение Биржевых облигаций.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Агентом по приобретению является Андеррайтер. Единоличный исполнительный орган Эмитента может назначить иных Агентов по приобретению и отменять такие назначения.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Информация о назначении иных Агентов по приобретению Биржевых облигаций и отмене таких назначений раскрывается Эмитентом в форме сообщения о существенном факте в соответствии с порядком, предусмотренном в п. 11 Программы биржевых облигаций и п. 8.11. раздела VIII Проспекта ценных бумаг. </w:t>
      </w:r>
    </w:p>
    <w:p w:rsidR="008A56CB" w:rsidRPr="008A56CB" w:rsidRDefault="008A56CB" w:rsidP="008A56CB">
      <w:pPr>
        <w:pStyle w:val="Default"/>
        <w:ind w:firstLine="567"/>
        <w:jc w:val="both"/>
        <w:rPr>
          <w:rFonts w:ascii="Arial" w:hAnsi="Arial" w:cs="Arial"/>
          <w:b/>
          <w:bCs/>
          <w:i/>
          <w:iCs/>
          <w:color w:val="auto"/>
          <w:sz w:val="20"/>
          <w:szCs w:val="20"/>
        </w:rPr>
      </w:pPr>
    </w:p>
    <w:p w:rsidR="008A56CB" w:rsidRPr="008A56CB" w:rsidRDefault="008A56CB" w:rsidP="008A56CB">
      <w:pPr>
        <w:pStyle w:val="Default"/>
        <w:ind w:firstLine="567"/>
        <w:jc w:val="both"/>
        <w:rPr>
          <w:rFonts w:ascii="Arial" w:hAnsi="Arial" w:cs="Arial"/>
          <w:b/>
          <w:bCs/>
          <w:i/>
          <w:iCs/>
          <w:color w:val="auto"/>
          <w:sz w:val="20"/>
          <w:szCs w:val="20"/>
        </w:rPr>
      </w:pPr>
      <w:r w:rsidRPr="008A56CB">
        <w:rPr>
          <w:rFonts w:ascii="Arial" w:hAnsi="Arial" w:cs="Arial"/>
          <w:b/>
          <w:bCs/>
          <w:i/>
          <w:iCs/>
          <w:color w:val="auto"/>
          <w:sz w:val="20"/>
          <w:szCs w:val="20"/>
        </w:rPr>
        <w:t xml:space="preserve">Эмитент до наступления срока погашения вправе погасить приобретенные им Биржевые облигации досрочно. Приобретенные Эмитентом Биржевые облигации, погашенные им досрочно, не могут быть вновь выпущены в обращение. Положения Программы о досрочном погашении Биржевых облигаций по усмотрению Эмитента к досрочному погашению приобретенных Эмитентом Биржевых облигаций не применяются. </w:t>
      </w:r>
    </w:p>
    <w:p w:rsidR="008A56CB" w:rsidRPr="008A56CB" w:rsidRDefault="008A56CB" w:rsidP="008A56CB">
      <w:pPr>
        <w:pStyle w:val="Default"/>
        <w:ind w:firstLine="567"/>
        <w:jc w:val="both"/>
        <w:rPr>
          <w:rFonts w:ascii="Arial" w:hAnsi="Arial" w:cs="Arial"/>
          <w:b/>
          <w:bCs/>
          <w:i/>
          <w:iCs/>
          <w:color w:val="auto"/>
          <w:sz w:val="20"/>
          <w:szCs w:val="20"/>
        </w:rPr>
      </w:pPr>
    </w:p>
    <w:p w:rsidR="008A56CB" w:rsidRPr="008A56CB" w:rsidRDefault="008A56CB" w:rsidP="008A56CB">
      <w:pPr>
        <w:spacing w:after="0"/>
        <w:ind w:firstLine="539"/>
        <w:jc w:val="both"/>
        <w:rPr>
          <w:rFonts w:ascii="Arial" w:hAnsi="Arial" w:cs="Arial"/>
          <w:b/>
          <w:i/>
        </w:rPr>
      </w:pPr>
      <w:r w:rsidRPr="008A56CB">
        <w:rPr>
          <w:rFonts w:ascii="Arial" w:hAnsi="Arial" w:cs="Arial"/>
          <w:b/>
          <w:i/>
          <w:u w:val="single"/>
        </w:rPr>
        <w:t>Наличие или отсутствие возможности или обязанности приобретения Биржевых облигаций на условиях, указанных ниже, в отношении каждого отдельного выпуска Биржевых облигаций будет определено соответствующими Условиями выпуска</w:t>
      </w:r>
      <w:r w:rsidRPr="008A56CB">
        <w:rPr>
          <w:rFonts w:ascii="Arial" w:hAnsi="Arial" w:cs="Arial"/>
          <w:b/>
          <w:i/>
        </w:rPr>
        <w:t>.</w:t>
      </w:r>
    </w:p>
    <w:p w:rsidR="008A56CB" w:rsidRDefault="008A56CB" w:rsidP="008A56CB">
      <w:pPr>
        <w:spacing w:after="0"/>
        <w:jc w:val="both"/>
      </w:pPr>
    </w:p>
    <w:p w:rsidR="008A56CB" w:rsidRPr="008A56CB" w:rsidRDefault="008A56CB" w:rsidP="008A56CB">
      <w:pPr>
        <w:pStyle w:val="Default"/>
        <w:ind w:firstLine="567"/>
        <w:jc w:val="both"/>
        <w:rPr>
          <w:color w:val="auto"/>
          <w:sz w:val="20"/>
          <w:szCs w:val="20"/>
          <w:u w:val="single"/>
        </w:rPr>
      </w:pPr>
      <w:r w:rsidRPr="008A56CB">
        <w:rPr>
          <w:color w:val="auto"/>
          <w:sz w:val="20"/>
          <w:szCs w:val="20"/>
          <w:u w:val="single"/>
        </w:rPr>
        <w:t xml:space="preserve">Приобретение эмитентом биржевых облигаций по требованию их владельца (владельцев): </w:t>
      </w:r>
    </w:p>
    <w:p w:rsidR="008A56CB" w:rsidRDefault="008A56CB" w:rsidP="008A56CB">
      <w:pPr>
        <w:pStyle w:val="Default"/>
        <w:ind w:firstLine="567"/>
        <w:jc w:val="both"/>
        <w:rPr>
          <w:rFonts w:ascii="Arial" w:hAnsi="Arial" w:cs="Arial"/>
          <w:b/>
          <w:bCs/>
          <w:i/>
          <w:iCs/>
          <w:color w:val="auto"/>
          <w:sz w:val="20"/>
          <w:szCs w:val="20"/>
        </w:rPr>
      </w:pP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Эмитент обязан обеспечить право владельцев Биржевых облигаций требовать от Эмитента приобретения Биржевых облигаций в течение последних 5 (Пяти) рабочих дней купонного периода, предшествующего купонному периоду, по которому размер купона либо порядок определения размера купона определяется Эмитентом после завершения размещения и раскрытия ФБ ММВБ информации об итогах размещения Биржевых облигаций и уведомления об этом Банка России в установленном порядке (далее – «Период предъявления Биржевых облигаций к приобретению Эмитентом»). Владельцы Биржевых облигаций имеют право требовать от Эмитента приобретения Биржевых облигаций в случаях, описанных в п. 9.3.2 Программы биржевых облигаций.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Если размер ставок купонов или порядок определения ставок купонов определяется уполномоченным органом управления Эмитента после завершения размещения и раскрытия ФБ ММВБ информации об итогах размещения Биржевых облигаций и уведомления об этом Банка России в установленном порядке одновременно по нескольким купонным периодам, Эмитент обязан приобретать Биржевые облигации по требованиям их владельцев, заявленным в течение последних 5 (Пяти) рабочих дней купонного периода, предшествующего купонному периоду, по которому Эмитентом определяются указанные ставки купонов или порядок определения ставок купонов одновременно с иными купонными периодами, и который наступает раньше. Приобретение Биржевых облигаций перед иными купонными периодами, по которым определяются такие размер или порядок определения размера купона по Биржевым облигациям, в этом случае не требуется. </w:t>
      </w:r>
    </w:p>
    <w:p w:rsidR="008A56CB" w:rsidRPr="008A56CB" w:rsidRDefault="008A56CB" w:rsidP="008A56CB">
      <w:pPr>
        <w:pStyle w:val="Default"/>
        <w:ind w:firstLine="567"/>
        <w:jc w:val="both"/>
        <w:rPr>
          <w:rFonts w:ascii="Arial" w:hAnsi="Arial" w:cs="Arial"/>
          <w:b/>
          <w:bCs/>
          <w:i/>
          <w:iCs/>
          <w:color w:val="auto"/>
          <w:sz w:val="20"/>
          <w:szCs w:val="20"/>
        </w:rPr>
      </w:pPr>
      <w:r w:rsidRPr="008A56CB">
        <w:rPr>
          <w:rFonts w:ascii="Arial" w:hAnsi="Arial" w:cs="Arial"/>
          <w:b/>
          <w:bCs/>
          <w:i/>
          <w:iCs/>
          <w:color w:val="auto"/>
          <w:sz w:val="20"/>
          <w:szCs w:val="20"/>
        </w:rPr>
        <w:t xml:space="preserve">Информация о приобретении Биржевых облигаций по требованию их владельцев раскрывается одновременно с информацией об определенных ставках по купонам. Информация об определенных Эмитентом ставках по купонам Биржевых облигаций, начиная со второго, доводится до потенциальных приобретателей путем раскрытия в форме сообщения о существенном факте в порядке и сроки, указанные в п. 11 Программы биржевых облигаций и п.8.11 раздела </w:t>
      </w:r>
      <w:r w:rsidRPr="008A56CB">
        <w:rPr>
          <w:rFonts w:ascii="Arial" w:hAnsi="Arial" w:cs="Arial"/>
          <w:b/>
          <w:bCs/>
          <w:i/>
          <w:iCs/>
          <w:color w:val="auto"/>
          <w:sz w:val="20"/>
          <w:szCs w:val="20"/>
          <w:lang w:val="en-US"/>
        </w:rPr>
        <w:t>VIII</w:t>
      </w:r>
      <w:r w:rsidRPr="008A56CB">
        <w:rPr>
          <w:rFonts w:ascii="Arial" w:hAnsi="Arial" w:cs="Arial"/>
          <w:b/>
          <w:bCs/>
          <w:i/>
          <w:iCs/>
          <w:color w:val="auto"/>
          <w:sz w:val="20"/>
          <w:szCs w:val="20"/>
        </w:rPr>
        <w:t xml:space="preserve"> Проспекта ценных бумаг. </w:t>
      </w:r>
    </w:p>
    <w:p w:rsidR="008A56CB" w:rsidRDefault="008A56CB" w:rsidP="008A56CB">
      <w:pPr>
        <w:pStyle w:val="Default"/>
        <w:jc w:val="both"/>
        <w:rPr>
          <w:b/>
          <w:bCs/>
          <w:i/>
          <w:iCs/>
          <w:color w:val="auto"/>
          <w:sz w:val="22"/>
          <w:szCs w:val="22"/>
        </w:rPr>
      </w:pPr>
    </w:p>
    <w:p w:rsidR="008A56CB" w:rsidRPr="008A56CB" w:rsidRDefault="008A56CB" w:rsidP="008A56CB">
      <w:pPr>
        <w:pStyle w:val="Default"/>
        <w:ind w:firstLine="567"/>
        <w:jc w:val="both"/>
        <w:rPr>
          <w:color w:val="auto"/>
          <w:sz w:val="20"/>
          <w:szCs w:val="20"/>
        </w:rPr>
      </w:pPr>
      <w:r w:rsidRPr="008A56CB">
        <w:rPr>
          <w:color w:val="auto"/>
          <w:sz w:val="20"/>
          <w:szCs w:val="20"/>
        </w:rPr>
        <w:t xml:space="preserve">Порядок и условия приобретения эмитентом биржевых облигаций по требованию владельцев биржевых облигаций: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1) Владелец Биржевых облигаций, являющийся Участником торгов, действует самостоятельно. В случае если владелец Биржевых облигаций не является Участником торгов, он заключает соответствующий договор с любым брокером, являющимся Участником торгов, и дает ему поручение осуществить все необходимые действия для продажи Биржевых облигаций Эмитенту. Участник торгов, действующий за счет и по поручению владельцев Биржевых облигаций, а также действующий от своего имени и за свой счет, далее именуется «Держатель» или «Держатель Биржевых облигаций».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2) В течение Периода предъявления Биржевых облигаций к приобретению Эмитентом Держатель Биржевых облигаций должен передать Агенту по приобретению письменное уведомление о намерении продать определенное количество Биржевых облигаций (далее – «Уведомление»). Уведомление должно быть подписано уполномоченным лицом Держателя Биржевых облигаций. Удовлетворению подлежат только те Уведомления, которые были надлежаще оформлены и фактически получены Агентом по приобретению в течение Периода предъявления Биржевых облигаций к приобретению Эмитентом. Независимо от даты отправления Уведомления, полученные Агентом по приобретению по окончании Периода предъявления Биржевых облигаций к приобретению Эмитентом, удовлетворению не подлежат.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Уведомление должно быть составлено на фирменном бланке Держателя по следующей форме: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«Настоящим ____________________ (полное наименование Держателя Биржевых облигаций) сообщает о намерении продать </w:t>
      </w:r>
      <w:r w:rsidRPr="008A56CB">
        <w:rPr>
          <w:rFonts w:ascii="Arial" w:hAnsi="Arial" w:cs="Arial"/>
          <w:b/>
          <w:i/>
          <w:iCs/>
          <w:color w:val="auto"/>
          <w:sz w:val="20"/>
          <w:szCs w:val="20"/>
        </w:rPr>
        <w:t>ЗАО ССМО «ЛенСпецСМУ»</w:t>
      </w:r>
      <w:r w:rsidRPr="008A56CB">
        <w:rPr>
          <w:rStyle w:val="a6"/>
          <w:rFonts w:ascii="Arial" w:hAnsi="Arial" w:cs="Arial"/>
          <w:sz w:val="20"/>
          <w:szCs w:val="20"/>
          <w:shd w:val="clear" w:color="auto" w:fill="FFFFFF"/>
        </w:rPr>
        <w:t xml:space="preserve"> </w:t>
      </w:r>
      <w:r w:rsidRPr="008A56CB">
        <w:rPr>
          <w:rFonts w:ascii="Arial" w:hAnsi="Arial" w:cs="Arial"/>
          <w:b/>
          <w:bCs/>
          <w:i/>
          <w:iCs/>
          <w:color w:val="auto"/>
          <w:sz w:val="20"/>
          <w:szCs w:val="20"/>
        </w:rPr>
        <w:t xml:space="preserve">биржевые облигации процентные документарные на предъявителя неконвертируемые с обязательным централизованным хранением серии ______, идентификационный номер выпуска ____________, размещенные в рамках Программы биржевых облигаций серии 001P, идентификационный номер программы биржевых облигаций ____________, принадлежащие __________________ (полное наименование владельца Биржевых облигаций/ ФИО) в соответствии с условиями Программы биржевых облигаций, соответствующих Условий выпуска и Проспекта ценных бумаг. </w:t>
      </w:r>
    </w:p>
    <w:p w:rsidR="008A56CB" w:rsidRPr="008A56CB" w:rsidRDefault="008A56CB" w:rsidP="008A56CB">
      <w:pPr>
        <w:pStyle w:val="Default"/>
        <w:jc w:val="both"/>
        <w:rPr>
          <w:rFonts w:ascii="Arial" w:hAnsi="Arial" w:cs="Arial"/>
          <w:color w:val="auto"/>
          <w:sz w:val="20"/>
          <w:szCs w:val="20"/>
        </w:rPr>
      </w:pPr>
      <w:r w:rsidRPr="008A56CB">
        <w:rPr>
          <w:rFonts w:ascii="Arial" w:hAnsi="Arial" w:cs="Arial"/>
          <w:b/>
          <w:bCs/>
          <w:i/>
          <w:iCs/>
          <w:color w:val="auto"/>
          <w:sz w:val="20"/>
          <w:szCs w:val="20"/>
        </w:rPr>
        <w:t xml:space="preserve">________________________________________________________________________________ </w:t>
      </w:r>
    </w:p>
    <w:p w:rsidR="008A56CB" w:rsidRPr="008A56CB" w:rsidRDefault="008A56CB" w:rsidP="008A56CB">
      <w:pPr>
        <w:pStyle w:val="Default"/>
        <w:jc w:val="both"/>
        <w:rPr>
          <w:rFonts w:ascii="Arial" w:hAnsi="Arial" w:cs="Arial"/>
          <w:color w:val="auto"/>
          <w:sz w:val="20"/>
          <w:szCs w:val="20"/>
        </w:rPr>
      </w:pPr>
      <w:r w:rsidRPr="008A56CB">
        <w:rPr>
          <w:rFonts w:ascii="Arial" w:hAnsi="Arial" w:cs="Arial"/>
          <w:b/>
          <w:bCs/>
          <w:i/>
          <w:iCs/>
          <w:color w:val="auto"/>
          <w:sz w:val="20"/>
          <w:szCs w:val="20"/>
        </w:rPr>
        <w:t xml:space="preserve">Полное наименование Держателя: </w:t>
      </w:r>
    </w:p>
    <w:p w:rsidR="008A56CB" w:rsidRPr="008A56CB" w:rsidRDefault="008A56CB" w:rsidP="008A56CB">
      <w:pPr>
        <w:pStyle w:val="Default"/>
        <w:jc w:val="both"/>
        <w:rPr>
          <w:rFonts w:ascii="Arial" w:hAnsi="Arial" w:cs="Arial"/>
          <w:color w:val="auto"/>
          <w:sz w:val="20"/>
          <w:szCs w:val="20"/>
        </w:rPr>
      </w:pPr>
      <w:r w:rsidRPr="008A56CB">
        <w:rPr>
          <w:rFonts w:ascii="Arial" w:hAnsi="Arial" w:cs="Arial"/>
          <w:b/>
          <w:bCs/>
          <w:i/>
          <w:iCs/>
          <w:color w:val="auto"/>
          <w:sz w:val="20"/>
          <w:szCs w:val="20"/>
        </w:rPr>
        <w:t xml:space="preserve">________________________________________________________________________________ </w:t>
      </w:r>
    </w:p>
    <w:p w:rsidR="008A56CB" w:rsidRPr="008A56CB" w:rsidRDefault="008A56CB" w:rsidP="008A56CB">
      <w:pPr>
        <w:pStyle w:val="Default"/>
        <w:jc w:val="both"/>
        <w:rPr>
          <w:rFonts w:ascii="Arial" w:hAnsi="Arial" w:cs="Arial"/>
          <w:color w:val="auto"/>
          <w:sz w:val="20"/>
          <w:szCs w:val="20"/>
        </w:rPr>
      </w:pPr>
      <w:r w:rsidRPr="008A56CB">
        <w:rPr>
          <w:rFonts w:ascii="Arial" w:hAnsi="Arial" w:cs="Arial"/>
          <w:b/>
          <w:bCs/>
          <w:i/>
          <w:iCs/>
          <w:color w:val="auto"/>
          <w:sz w:val="20"/>
          <w:szCs w:val="20"/>
        </w:rPr>
        <w:t xml:space="preserve">Количество предлагаемых к продаже Биржевых облигаций (цифрами и прописью). </w:t>
      </w:r>
    </w:p>
    <w:p w:rsidR="008A56CB" w:rsidRPr="008A56CB" w:rsidRDefault="008A56CB" w:rsidP="008A56CB">
      <w:pPr>
        <w:pStyle w:val="Default"/>
        <w:jc w:val="both"/>
        <w:rPr>
          <w:rFonts w:ascii="Arial" w:hAnsi="Arial" w:cs="Arial"/>
          <w:color w:val="auto"/>
          <w:sz w:val="20"/>
          <w:szCs w:val="20"/>
        </w:rPr>
      </w:pPr>
      <w:r w:rsidRPr="008A56CB">
        <w:rPr>
          <w:rFonts w:ascii="Arial" w:hAnsi="Arial" w:cs="Arial"/>
          <w:b/>
          <w:bCs/>
          <w:i/>
          <w:iCs/>
          <w:color w:val="auto"/>
          <w:sz w:val="20"/>
          <w:szCs w:val="20"/>
        </w:rPr>
        <w:t xml:space="preserve">________________________________________________________________________________ </w:t>
      </w:r>
    </w:p>
    <w:p w:rsidR="008A56CB" w:rsidRPr="008A56CB" w:rsidRDefault="008A56CB" w:rsidP="008A56CB">
      <w:pPr>
        <w:pStyle w:val="Default"/>
        <w:jc w:val="both"/>
        <w:rPr>
          <w:rFonts w:ascii="Arial" w:hAnsi="Arial" w:cs="Arial"/>
          <w:b/>
          <w:bCs/>
          <w:i/>
          <w:iCs/>
          <w:color w:val="auto"/>
          <w:sz w:val="20"/>
          <w:szCs w:val="20"/>
        </w:rPr>
      </w:pPr>
      <w:r w:rsidRPr="008A56CB">
        <w:rPr>
          <w:rFonts w:ascii="Arial" w:hAnsi="Arial" w:cs="Arial"/>
          <w:b/>
          <w:bCs/>
          <w:i/>
          <w:iCs/>
          <w:color w:val="auto"/>
          <w:sz w:val="20"/>
          <w:szCs w:val="20"/>
        </w:rPr>
        <w:t xml:space="preserve">Подпись, расшифровка подписи, Печать (при наличии) Держателя.» </w:t>
      </w:r>
    </w:p>
    <w:p w:rsidR="008A56CB" w:rsidRPr="008A56CB" w:rsidRDefault="008A56CB" w:rsidP="008A56CB">
      <w:pPr>
        <w:pStyle w:val="Default"/>
        <w:jc w:val="both"/>
        <w:rPr>
          <w:rFonts w:ascii="Arial" w:hAnsi="Arial" w:cs="Arial"/>
          <w:color w:val="auto"/>
          <w:sz w:val="20"/>
          <w:szCs w:val="20"/>
        </w:rPr>
      </w:pPr>
      <w:r w:rsidRPr="008A56CB">
        <w:rPr>
          <w:rFonts w:ascii="Arial" w:hAnsi="Arial" w:cs="Arial"/>
          <w:b/>
          <w:bCs/>
          <w:i/>
          <w:iCs/>
          <w:color w:val="auto"/>
          <w:sz w:val="20"/>
          <w:szCs w:val="20"/>
        </w:rPr>
        <w:t>Уведомление должно содержать указание на полномочия лица, подписавшего Уведомление.</w:t>
      </w:r>
    </w:p>
    <w:p w:rsidR="008A56CB" w:rsidRPr="008A56CB" w:rsidRDefault="008A56CB" w:rsidP="008A56CB">
      <w:pPr>
        <w:pStyle w:val="Default"/>
        <w:ind w:firstLine="567"/>
        <w:jc w:val="both"/>
        <w:rPr>
          <w:rFonts w:ascii="Arial" w:hAnsi="Arial" w:cs="Arial"/>
          <w:b/>
          <w:bCs/>
          <w:i/>
          <w:iCs/>
          <w:color w:val="auto"/>
          <w:sz w:val="20"/>
          <w:szCs w:val="20"/>
        </w:rPr>
      </w:pP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3) После передачи Уведомления Держатель Биржевых облигаций подает адресную заявку на продажу указанного в Уведомлении количества Биржевых облигаций в Систему торгов Биржи в соответствии с ее Правилами проведения торгов и другими нормативными документами, регулирующими проведение торгов по ценным бумагам на Бирже (далее – «Правила торгов»), адресованную Агенту по приобретению, являющемуся Участником торгов Биржи, с указанием Цены Приобретения Биржевых облигаций (как определено ниже). Данная заявка должна быть выставлена Держателем в Систему торгов с 11 часов 00 минут до 13 часов 00 минут по московскому времени в Дату Приобретения Биржевых облигаций Эмитентом.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При приобретении Биржевых облигаций в соответствии с положением пункта 10.1 Программы биржевых облигаций Дата Приобретения Биржевых облигаций определяется как второй рабочий день с даты окончания Периода предъявления Биржевых облигаций к приобретению Эмитентом. </w:t>
      </w:r>
    </w:p>
    <w:p w:rsidR="008A56CB" w:rsidRPr="008A56CB" w:rsidRDefault="008A56CB" w:rsidP="008A56CB">
      <w:pPr>
        <w:pStyle w:val="Default"/>
        <w:ind w:firstLine="567"/>
        <w:jc w:val="both"/>
        <w:rPr>
          <w:rFonts w:ascii="Arial" w:hAnsi="Arial" w:cs="Arial"/>
          <w:b/>
          <w:bCs/>
          <w:i/>
          <w:iCs/>
          <w:color w:val="auto"/>
          <w:sz w:val="20"/>
          <w:szCs w:val="20"/>
        </w:rPr>
      </w:pPr>
      <w:r w:rsidRPr="008A56CB">
        <w:rPr>
          <w:rFonts w:ascii="Arial" w:hAnsi="Arial" w:cs="Arial"/>
          <w:b/>
          <w:bCs/>
          <w:i/>
          <w:iCs/>
          <w:color w:val="auto"/>
          <w:sz w:val="20"/>
          <w:szCs w:val="20"/>
        </w:rPr>
        <w:t xml:space="preserve">Цена Приобретения Биржевых облигаций определяется как 100 (сто) процентов от непогашенной части номинальной стоимости Биржевых облигаций. При этом дополнительно выплачивается накопленный купонный доход, рассчитанный на Дату Приобретения Биржевых облигаций.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Непогашенная часть номинальной стоимости Биржевой облигации определяется как разница между номинальной стоимостью одной Биржевой облигации и её частью, погашенной при частичном досрочном погашении Биржевых облигаций (в случае если решение о частичном досрочном погашении принято Эмитентом в соответствии с п. 9.5 Программы биржевых облигаций) (ранее и далее – непогашенная часть номинальной стоимости).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4) Сделки по приобретению Эмитентом Биржевых облигаций у Держателей Биржевых облигаций совершаются на Бирже в соответствии с Правилами торгов.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Эмитент обязуется в срок с 14 часов 00 минут до 16 часов 00 минут по московскому времени в Дату Приобретения Биржевых облигаций Эмитентом подать через Агента по приобретению встречные адресные заявки к заявкам Держателей Биржевых облигаций, от которых Агент по приобретению получил Уведомления, поданные в соответствии с пп. 2) п. 10.1 Программы биржевых облигаций и находящимся в Системе торгов Биржи к моменту заключения сделки.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Эмитент обязуется приобрести все Биржевые облигации, заявления на приобретение которых поступили от владельцев/держателей Биржевых облигаций в установленный Программой биржевых облигаций срок.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Принятие уполномоченным органом управления Эмитента отдельного решения о приобретении Биржевых облигаций не требуется, так как порядок приобретения Биржевых облигаций Эмитентом по требованию их владельцев изложен в настоящей Программе биржевых облигаций. </w:t>
      </w:r>
    </w:p>
    <w:p w:rsidR="008A56CB" w:rsidRDefault="008A56CB" w:rsidP="008A56CB">
      <w:pPr>
        <w:pStyle w:val="Default"/>
        <w:ind w:firstLine="567"/>
        <w:jc w:val="both"/>
        <w:rPr>
          <w:rFonts w:ascii="Arial" w:hAnsi="Arial" w:cs="Arial"/>
          <w:b/>
          <w:bCs/>
          <w:i/>
          <w:iCs/>
          <w:color w:val="auto"/>
          <w:sz w:val="20"/>
          <w:szCs w:val="20"/>
        </w:rPr>
      </w:pPr>
      <w:r w:rsidRPr="008A56CB">
        <w:rPr>
          <w:rFonts w:ascii="Arial" w:hAnsi="Arial" w:cs="Arial"/>
          <w:b/>
          <w:bCs/>
          <w:i/>
          <w:iCs/>
          <w:color w:val="auto"/>
          <w:sz w:val="20"/>
          <w:szCs w:val="20"/>
        </w:rPr>
        <w:t xml:space="preserve">Информация о назначении иного Агента по приобретению Биржевых облигаций и отмене таких назначений раскрывается Эмитентом в форме сообщения о существенном факте в соответствии с п. 11 Программой биржевых облигаций и п. 8.11. раздела VIII Проспекта ценных бумаг. </w:t>
      </w:r>
    </w:p>
    <w:p w:rsidR="008A56CB" w:rsidRDefault="008A56CB" w:rsidP="008A56CB">
      <w:pPr>
        <w:pStyle w:val="Default"/>
        <w:jc w:val="both"/>
        <w:rPr>
          <w:color w:val="auto"/>
          <w:sz w:val="22"/>
          <w:szCs w:val="22"/>
        </w:rPr>
      </w:pPr>
    </w:p>
    <w:p w:rsidR="008A56CB" w:rsidRPr="008A56CB" w:rsidRDefault="008A56CB" w:rsidP="008A56CB">
      <w:pPr>
        <w:pStyle w:val="Default"/>
        <w:ind w:firstLine="567"/>
        <w:jc w:val="both"/>
        <w:rPr>
          <w:color w:val="auto"/>
          <w:sz w:val="20"/>
          <w:szCs w:val="20"/>
          <w:u w:val="single"/>
        </w:rPr>
      </w:pPr>
      <w:r w:rsidRPr="008A56CB">
        <w:rPr>
          <w:color w:val="auto"/>
          <w:sz w:val="20"/>
          <w:szCs w:val="20"/>
          <w:u w:val="single"/>
        </w:rPr>
        <w:t xml:space="preserve">Приобретение Эмитентом Биржевых облигаций по соглашению с их владельцем (владельцами): </w:t>
      </w:r>
    </w:p>
    <w:p w:rsidR="008A56CB" w:rsidRPr="008A56CB" w:rsidRDefault="008A56CB" w:rsidP="008A56CB">
      <w:pPr>
        <w:pStyle w:val="Default"/>
        <w:ind w:firstLine="567"/>
        <w:jc w:val="both"/>
        <w:rPr>
          <w:rFonts w:ascii="Arial" w:hAnsi="Arial" w:cs="Arial"/>
          <w:b/>
          <w:bCs/>
          <w:i/>
          <w:iCs/>
          <w:color w:val="auto"/>
          <w:sz w:val="20"/>
          <w:szCs w:val="20"/>
        </w:rPr>
      </w:pP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Предусматривается возможность приобретения Биржевых облигаций Эмитентом по соглашению с их владельцем (владельцами) с возможностью их последующего обращения. Эмитент имеет право приобретать Биржевые облигации путем заключения договоров по приобретению Биржевых облигаций в соответствии с законодательством Российской Федерации, в том числе на основании публичных безотзывных оферт Эмитента, публикуемых в ленте новостей и на странице Эмитента в сети Интернет.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Решение о приобретении Биржевых облигаций, в том числе на основании публичных безотзывных оферт, принимается уполномоченным органом управления Эмитента. При принятии указанного решения уполномоченным органом управления Эмитента должны быть установлены условия, порядок и сроки приобретения Биржевых облигаций, которые будут опубликованы в ленте новостей, на странице Эмитента в сети Интернет не позднее 7 (Семи) рабочих дней до начала срока принятия предложения о приобретении Биржевых облигаций.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При этом срок приобретения Биржевых облигаций не может наступить ранее полной оплаты Биржевых облигаций. </w:t>
      </w:r>
    </w:p>
    <w:p w:rsidR="008A56CB" w:rsidRPr="008A56CB" w:rsidRDefault="008A56CB" w:rsidP="008A56CB">
      <w:pPr>
        <w:pStyle w:val="Default"/>
        <w:ind w:firstLine="567"/>
        <w:rPr>
          <w:color w:val="auto"/>
          <w:sz w:val="20"/>
          <w:szCs w:val="20"/>
        </w:rPr>
      </w:pPr>
    </w:p>
    <w:p w:rsidR="008A56CB" w:rsidRPr="008A56CB" w:rsidRDefault="008A56CB" w:rsidP="008A56CB">
      <w:pPr>
        <w:pStyle w:val="Default"/>
        <w:ind w:firstLine="567"/>
        <w:jc w:val="both"/>
        <w:rPr>
          <w:color w:val="auto"/>
          <w:sz w:val="20"/>
          <w:szCs w:val="20"/>
        </w:rPr>
      </w:pPr>
      <w:r w:rsidRPr="008A56CB">
        <w:rPr>
          <w:color w:val="auto"/>
          <w:sz w:val="20"/>
          <w:szCs w:val="20"/>
        </w:rPr>
        <w:t xml:space="preserve">Порядок и условия приобретения биржевых облигаций по соглашению с их владельцем (владельцами):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а) Решение о приобретении Биржевых облигаций принимается уполномоченным органом управления Эмитента с учетом положений Программы биржевых облигаций и Устава Эмитента.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б) В соответствии со сроками, условиями и порядком приобретения Биржевых облигаций, опубликованными в ленте новостей, на странице Эмитента в сети Интернет, Эмитент приобретает Биржевые облигации у владельцев Биржевых облигаций путем совершения сделок по приобретению Биржевых облигаций с использованием Системы торгов Биржи. Владелец Биржевых облигаций, являющийся Участником торгов Биржи и желающий продать Биржевые облигации Эмитенту, действует самостоятельно. В случае если владелец Биржевых облигаций не является Участником торгов Биржи, он может заключить соответствующий договор с любым Участником торгов Биржи, и дать ему поручение на продажу Биржевых облигаций Эмитенту.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Держатель Биржевых облигаций в срок, указанный в опубликованном сообщении о приобретении Биржевых облигаций, должен передать Агенту по приобретению Уведомление о намерении продать Эмитенту определенное количество Биржевых облигаций на изложенных в опубликованном сообщении о приобретении Биржевых облигаций условиях. Указанное Уведомление должно быть подписано уполномоченным лицом Держателя Биржевых облигаций и содержать информацию о полном наименовании Держателя, серии и количестве Биржевых облигаций, предлагаемых к продаже, адресе Держателя для направления корреспонденции, контактном телефоне и факсе.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Уведомление считается полученным Агентом по приобретению с даты вручения адресату, при условии соответствия Уведомления всем требованиям, установленным сообщением о приобретении Биржевых облигаций. Эмитент не несет обязательств по приобретению Биржевых облигаций по отношению: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-к лицам, не представившим в указанный срок свои Уведомления;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-к лицам, представившим Уведомление, не соответствующее установленным требованиям.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в) С 11 часов 00 минут до 13 часов 00 минут по московскому времени в соответствующую дату приобретения Эмитентом Биржевых облигаций, указанную в сообщении, Держатель, ранее передавший Уведомление Агенту по приобретению, подает адресную заявку (далее – «Заявка») на продажу определенного количества Биржевых облигаций в Систему торгов Биржи в соответствии с Правилами торгов, адресованную Агенту по приобретению, с указанием цены Биржевой облигации, определенной в сообщении о приобретении Биржевых облигаций. Количество Биржевых облигаций в Заявке должно совпадать с количеством Биржевых облигаций, указанных в Уведомлении. Заявка удовлетворяется только в том случае, если количество облигаций, указанное в ней, равно количеству облигаций, указанному в Уведомлении. Достаточным свидетельством выставления Держателем Заявки на продажу Биржевых облигаций признается выписка из реестра заявок, составленная по форме соответствующего Приложения к Правилам проведения торгов по ценным бумагам на Бирже, заверенная подписью уполномоченного лица Биржи.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Эмитент обязуется в срок с 14 часов 00 минут до 16 часов 00 минут по московскому времени в соответствующую дату приобретения Биржевых облигаций, указанную в сообщении о приобретении Биржевых облигаций, подать через своего Агента по приобретению встречные адресные заявки к Заявкам, поданным в соответствии с условиями, опубликованными в сообщении о приобретении Биржевых облигаций и находящимся в Системе торгов к моменту подачи встречных заявок.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В случае принятия владельцами Биржевых облигаций предложения об их приобретении Эмитентом в отношении большего количества Биржевых облигаций, чем указано в таком предложении, Эмитент приобретает Биржевые облигации у владельцев пропорционально заявленным требованиям при соблюдении условия о приобретении только целого количества Биржевых облигаций.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Предусмотрена возможность назначения уполномоченным органом управления Эмитента иных Агентов по приобретению Биржевых облигаций и отмене таких назначений.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Информация о назначении Агента по приобретению Биржевых облигаций и отмене таких назначений раскрывается Эмитентом в форме сообщения о существенном факте в соответствии с п. 11 Программы биржевых облигаций и п. 8.11. раздела VIII Проспекта ценных бумаг. </w:t>
      </w:r>
    </w:p>
    <w:p w:rsidR="008A56CB" w:rsidRPr="008A56CB" w:rsidRDefault="008A56CB" w:rsidP="008A56CB">
      <w:pPr>
        <w:pStyle w:val="Default"/>
        <w:ind w:firstLine="567"/>
        <w:jc w:val="both"/>
        <w:rPr>
          <w:rFonts w:ascii="Arial" w:hAnsi="Arial" w:cs="Arial"/>
          <w:color w:val="auto"/>
          <w:sz w:val="20"/>
          <w:szCs w:val="20"/>
        </w:rPr>
      </w:pPr>
    </w:p>
    <w:p w:rsidR="008A56CB" w:rsidRPr="008A56CB" w:rsidRDefault="008A56CB" w:rsidP="008A56CB">
      <w:pPr>
        <w:pStyle w:val="Default"/>
        <w:ind w:firstLine="567"/>
        <w:jc w:val="both"/>
        <w:rPr>
          <w:color w:val="auto"/>
          <w:sz w:val="20"/>
          <w:szCs w:val="20"/>
        </w:rPr>
      </w:pPr>
      <w:r w:rsidRPr="008A56CB">
        <w:rPr>
          <w:color w:val="auto"/>
          <w:sz w:val="20"/>
          <w:szCs w:val="20"/>
        </w:rPr>
        <w:t xml:space="preserve">Срок (порядок определения срока) приобретения облигаций, порядок принятия уполномоченным органом эмитента решения о приобретении облигаций, порядок раскрытия эмитентом информации об условиях и итогах приобретения облигаций, а также иные условия приобретения облигаций.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В последующем приобретенные Эмитентом Биржевые облигации могут быть вновь выпущены в обращение на вторичный рынок (при условии соблюдения Эмитентом требований законодательства Российской Федерации). </w:t>
      </w:r>
    </w:p>
    <w:p w:rsidR="008A56CB" w:rsidRPr="008A56CB" w:rsidRDefault="008A56CB" w:rsidP="008A56CB">
      <w:pPr>
        <w:pStyle w:val="Default"/>
        <w:ind w:firstLine="567"/>
        <w:jc w:val="both"/>
        <w:rPr>
          <w:color w:val="auto"/>
          <w:sz w:val="20"/>
          <w:szCs w:val="20"/>
        </w:rPr>
      </w:pPr>
    </w:p>
    <w:p w:rsidR="008A56CB" w:rsidRPr="008A56CB" w:rsidRDefault="008A56CB" w:rsidP="008A56CB">
      <w:pPr>
        <w:pStyle w:val="Default"/>
        <w:ind w:firstLine="567"/>
        <w:jc w:val="both"/>
        <w:rPr>
          <w:color w:val="auto"/>
          <w:sz w:val="20"/>
          <w:szCs w:val="20"/>
        </w:rPr>
      </w:pPr>
      <w:r w:rsidRPr="008A56CB">
        <w:rPr>
          <w:color w:val="auto"/>
          <w:sz w:val="20"/>
          <w:szCs w:val="20"/>
        </w:rPr>
        <w:t xml:space="preserve">Срок (порядок определения срока) приобретения облигаций: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Приобретение Биржевых облигаций допускается только после их полной оплаты. Информация о завершении размещения раскрывается в порядке, указанном в пункте 11 Программы биржевых облигаций и п. 8.11. раздела VIII Проспекта ценных бумаг. Информация о приобретении Биржевых облигаций по требованию их владельцев раскрывается одновременно с информацией об определенных процентных ставках по купонам.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В случаях, когда приобретение Биржевых облигаций Эмитентом осуществляется по требованию владельцев Биржевых облигаций, Дата Приобретения Биржевых облигаций Эмитентом определяется в соответствии с п. 10.1 Программы биржевых облигаций.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В случае принятия решения Эмитентом о приобретении Биржевых облигаций по соглашению с их владельцами в соответствии с п. 10.2 Программы биржевых облигаций, в том числе на основании публичных безотзывных оферт Эмитента, публикуемых в ленте новостей, на странице Эмитента в сети Интернет, сроки и другие условия приобретения Биржевых облигаций, устанавливаются Эмитентом в таком решении. </w:t>
      </w:r>
    </w:p>
    <w:p w:rsidR="008A56CB" w:rsidRPr="008A56CB" w:rsidRDefault="008A56CB" w:rsidP="008A56CB">
      <w:pPr>
        <w:pStyle w:val="Default"/>
        <w:jc w:val="both"/>
        <w:rPr>
          <w:rFonts w:ascii="Arial" w:hAnsi="Arial" w:cs="Arial"/>
          <w:color w:val="auto"/>
          <w:sz w:val="20"/>
          <w:szCs w:val="20"/>
        </w:rPr>
      </w:pPr>
    </w:p>
    <w:p w:rsidR="008A56CB" w:rsidRPr="008A56CB" w:rsidRDefault="008A56CB" w:rsidP="008A56CB">
      <w:pPr>
        <w:pStyle w:val="Default"/>
        <w:ind w:firstLine="567"/>
        <w:jc w:val="both"/>
        <w:rPr>
          <w:color w:val="auto"/>
          <w:sz w:val="20"/>
          <w:szCs w:val="20"/>
        </w:rPr>
      </w:pPr>
      <w:r w:rsidRPr="008A56CB">
        <w:rPr>
          <w:color w:val="auto"/>
          <w:sz w:val="20"/>
          <w:szCs w:val="20"/>
        </w:rPr>
        <w:t xml:space="preserve">Порядок принятия уполномоченным органом эмитента решения о приобретении облигаций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Принятие уполномоченным органом управления Эмитента отдельного решения о приобретении Биржевых облигаций по требованию владельцев не требуется, так как порядок приобретения Биржевых облигаций Эмитентом по требованию их владельцев изложен в Программе.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Решение о приобретении Биржевых облигаций по соглашению с владельцами, в том числе на основании публичных безотзывных оферт, принимается уполномоченным органом управления Эмитента. При принятии указанного решения уполномоченным органом управления Эмитента должны быть установлены условия, порядок и сроки приобретения Биржевых облигаций, которые будут опубликованы в ленте новостей, на странице Эмитента в сети Интернет не позднее 7 (Семи) рабочих дней до начала срока принятия предложения о приобретении Биржевых облигаций </w:t>
      </w:r>
    </w:p>
    <w:p w:rsidR="00A06BCF" w:rsidRDefault="00A06BCF" w:rsidP="008A56CB">
      <w:pPr>
        <w:pStyle w:val="Default"/>
        <w:ind w:firstLine="567"/>
        <w:jc w:val="both"/>
        <w:rPr>
          <w:color w:val="auto"/>
          <w:sz w:val="20"/>
          <w:szCs w:val="20"/>
        </w:rPr>
      </w:pPr>
    </w:p>
    <w:p w:rsidR="008A56CB" w:rsidRPr="008A56CB" w:rsidRDefault="008A56CB" w:rsidP="008A56CB">
      <w:pPr>
        <w:pStyle w:val="Default"/>
        <w:ind w:firstLine="567"/>
        <w:jc w:val="both"/>
        <w:rPr>
          <w:color w:val="auto"/>
          <w:sz w:val="20"/>
          <w:szCs w:val="20"/>
        </w:rPr>
      </w:pPr>
      <w:r w:rsidRPr="008A56CB">
        <w:rPr>
          <w:color w:val="auto"/>
          <w:sz w:val="20"/>
          <w:szCs w:val="20"/>
        </w:rPr>
        <w:t xml:space="preserve">Порядок раскрытия Эмитентом информации об условиях и итогах приобретения облигаций: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Cs/>
          <w:color w:val="auto"/>
          <w:sz w:val="20"/>
          <w:szCs w:val="20"/>
        </w:rPr>
        <w:t>1.</w:t>
      </w:r>
      <w:r w:rsidRPr="008A56CB">
        <w:rPr>
          <w:rFonts w:ascii="Arial" w:hAnsi="Arial" w:cs="Arial"/>
          <w:b/>
          <w:bCs/>
          <w:i/>
          <w:iCs/>
          <w:color w:val="auto"/>
          <w:sz w:val="20"/>
          <w:szCs w:val="20"/>
        </w:rPr>
        <w:t xml:space="preserve">1) Информация о ставках или порядке определения размера ставок купонов в виде формулы с переменными, значения которых не могут изменяться в зависимости от усмотрения Эмитента, по купонным периодам, начиная со второго, которые определяются до даты начала размещения Биржевых облигаций, а также порядковом номере купонного периода, в котором владельцы Биржевых облигаций могут требовать приобретения Биржевых облигаций Эмитентом, раскрывается Эмитентом в форме сообщения о существенных фактах не позднее, чем за 1 (Один) день до даты начала размещения Биржевых облигаций и в следующие сроки с даты принятия решения о ставках или порядке определения процентной(ых) ставки(ок) по купону(ам):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color w:val="auto"/>
          <w:sz w:val="20"/>
          <w:szCs w:val="20"/>
        </w:rPr>
        <w:t xml:space="preserve">- </w:t>
      </w:r>
      <w:r w:rsidRPr="008A56CB">
        <w:rPr>
          <w:rFonts w:ascii="Arial" w:hAnsi="Arial" w:cs="Arial"/>
          <w:b/>
          <w:bCs/>
          <w:i/>
          <w:iCs/>
          <w:color w:val="auto"/>
          <w:sz w:val="20"/>
          <w:szCs w:val="20"/>
        </w:rPr>
        <w:t xml:space="preserve">в ленте новостей - не позднее 1 (Одного) дня;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color w:val="auto"/>
          <w:sz w:val="20"/>
          <w:szCs w:val="20"/>
        </w:rPr>
        <w:t xml:space="preserve">- </w:t>
      </w:r>
      <w:r w:rsidRPr="008A56CB">
        <w:rPr>
          <w:rFonts w:ascii="Arial" w:hAnsi="Arial" w:cs="Arial"/>
          <w:b/>
          <w:bCs/>
          <w:i/>
          <w:iCs/>
          <w:color w:val="auto"/>
          <w:sz w:val="20"/>
          <w:szCs w:val="20"/>
        </w:rPr>
        <w:t xml:space="preserve">на странице Эмитента в сети Интернет - не позднее 2 (Двух) дней.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При этом публикация на странице Эмитента в сети Интернет осуществляется после публикации в ленте новостей.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Эмитент информирует Биржу о принятых решениях, в том числе об определенных ставках, либо порядке определения ставок в согласованном порядке. </w:t>
      </w:r>
    </w:p>
    <w:p w:rsidR="008A56CB" w:rsidRPr="008A56CB" w:rsidRDefault="008A56CB" w:rsidP="008A56CB">
      <w:pPr>
        <w:pStyle w:val="Default"/>
        <w:ind w:firstLine="567"/>
        <w:jc w:val="both"/>
        <w:rPr>
          <w:rFonts w:ascii="Arial" w:hAnsi="Arial" w:cs="Arial"/>
          <w:b/>
          <w:bCs/>
          <w:i/>
          <w:iCs/>
          <w:color w:val="auto"/>
          <w:sz w:val="20"/>
          <w:szCs w:val="20"/>
        </w:rPr>
      </w:pP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2) Информация о ставках или порядке определения размера ставок купонов в виде формулы с переменными, значения которых не могут изменяться в зависимости от усмотрения Эмитента, по купонным периодам, начиная со второго, которые определяются Эмитентом после завершения размещения и раскрытия ФБ ММВБ информации об итогах размещения Биржевых облигаций и уведомления об этом Банка России в установленном порядке, а также порядковом номере купонного периода, в котором владельцы Биржевых облигаций могут требовать приобретения Биржевых облигаций Эмитентом, раскрывается Эмитентом в форме сообщения о существенных фактах не позднее, чем за 7 (Семь) рабочих дней до даты начала i-го купонного периода по Биржевым облигациям и в следующие сроки с Даты установления i-го купона: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color w:val="auto"/>
          <w:sz w:val="20"/>
          <w:szCs w:val="20"/>
        </w:rPr>
        <w:t xml:space="preserve">- </w:t>
      </w:r>
      <w:r w:rsidRPr="008A56CB">
        <w:rPr>
          <w:rFonts w:ascii="Arial" w:hAnsi="Arial" w:cs="Arial"/>
          <w:b/>
          <w:bCs/>
          <w:i/>
          <w:iCs/>
          <w:color w:val="auto"/>
          <w:sz w:val="20"/>
          <w:szCs w:val="20"/>
        </w:rPr>
        <w:t xml:space="preserve">в ленте новостей - не позднее 1 (Одного) дня;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color w:val="auto"/>
          <w:sz w:val="20"/>
          <w:szCs w:val="20"/>
        </w:rPr>
        <w:t xml:space="preserve">- </w:t>
      </w:r>
      <w:r w:rsidRPr="008A56CB">
        <w:rPr>
          <w:rFonts w:ascii="Arial" w:hAnsi="Arial" w:cs="Arial"/>
          <w:b/>
          <w:bCs/>
          <w:i/>
          <w:iCs/>
          <w:color w:val="auto"/>
          <w:sz w:val="20"/>
          <w:szCs w:val="20"/>
        </w:rPr>
        <w:t>на странице Эмитента в сети Интернет - не позднее 2 (Двух) дней.</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При этом публикация на странице Эмитента в сети Интернет осуществляется после публикации в ленте новостей.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Эмитент информирует Биржу об определенной ставке или порядке определения размера ставки купона не позднее, чем за 5 (Пять) рабочих дней до даты окончания (i-1)-го купонного периода (периода, в котором определяется процентная ставка по i-му и последующим купонам). </w:t>
      </w:r>
    </w:p>
    <w:p w:rsidR="008A56CB" w:rsidRPr="008A56CB" w:rsidRDefault="008A56CB" w:rsidP="008A56CB">
      <w:pPr>
        <w:pStyle w:val="Default"/>
        <w:ind w:firstLine="567"/>
        <w:rPr>
          <w:rFonts w:ascii="Arial" w:hAnsi="Arial" w:cs="Arial"/>
          <w:b/>
          <w:bCs/>
          <w:i/>
          <w:iCs/>
          <w:color w:val="auto"/>
          <w:sz w:val="20"/>
          <w:szCs w:val="20"/>
        </w:rPr>
      </w:pP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2. В случае принятия Эмитентом решения о приобретении Биржевых облигаций по соглашению с их владельцем (владельцами), в том числе на основании публичных безотзывных оферт, сообщение о соответствующем решении раскрывается в порядке, установленном для раскрытия сообщений о существенных фактах, не позднее, чем за 7 (Семь) рабочих дней до начала срока принятия предложения о приобретении Биржевых облигаций и в следующие сроки с даты составления протокола заседания уполномоченного органа Эмитента, на котором Эмитентом принято решение о приобретении Биржевых облигаций: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color w:val="auto"/>
          <w:sz w:val="20"/>
          <w:szCs w:val="20"/>
        </w:rPr>
        <w:t xml:space="preserve">- </w:t>
      </w:r>
      <w:r w:rsidRPr="008A56CB">
        <w:rPr>
          <w:rFonts w:ascii="Arial" w:hAnsi="Arial" w:cs="Arial"/>
          <w:b/>
          <w:bCs/>
          <w:i/>
          <w:iCs/>
          <w:color w:val="auto"/>
          <w:sz w:val="20"/>
          <w:szCs w:val="20"/>
        </w:rPr>
        <w:t xml:space="preserve">в ленте новостей - не позднее 1 (Одного) дня;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color w:val="auto"/>
          <w:sz w:val="20"/>
          <w:szCs w:val="20"/>
        </w:rPr>
        <w:t xml:space="preserve">- </w:t>
      </w:r>
      <w:r w:rsidRPr="008A56CB">
        <w:rPr>
          <w:rFonts w:ascii="Arial" w:hAnsi="Arial" w:cs="Arial"/>
          <w:b/>
          <w:bCs/>
          <w:i/>
          <w:iCs/>
          <w:color w:val="auto"/>
          <w:sz w:val="20"/>
          <w:szCs w:val="20"/>
        </w:rPr>
        <w:t xml:space="preserve">на странице Эмитента в сети Интернет - не позднее 2 (Двух) дней.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При этом публикация на странице Эмитента в сети Интернет осуществляется после публикации в ленте новостей.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Данное сообщение включает в себя следующую информацию: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 дату принятия решения о приобретении Биржевых облигаций выпуска;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 серию и форму Биржевых облигаций, идентификационный номер и дату допуска Биржевых облигаций к торгам на бирже в процессе размещения;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 количество приобретаемых Биржевых облигаций;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 срок, в течение которого держатель Биржевых облигаций может передать Агенту Эмитента письменное уведомление о намерении продать Эмитенту определенное количество Биржевых облигаций на установленных в решении Эмитента о приобретении Биржевых облигаций и изложенных в опубликованном сообщении о приобретении Биржевых облигаций условиях. Данный срок не может составлять менее 5 (Пяти) рабочих дней.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 дату начала приобретения Эмитентом Биржевых облигаций выпуска;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 дату окончания приобретения Биржевых облигаций выпуска;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 цену приобретения Биржевых облигаций выпуска или порядок ее определения;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 порядок приобретения Биржевых облигаций, в том числе порядок направления Эмитентом предложения о приобретении Биржевых облигаций, порядок и срок принятия такого предложения владельцами Биржевых облигаций;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 форму и срок оплаты;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color w:val="auto"/>
          <w:sz w:val="20"/>
          <w:szCs w:val="20"/>
        </w:rPr>
        <w:t xml:space="preserve">- </w:t>
      </w:r>
      <w:r w:rsidRPr="008A56CB">
        <w:rPr>
          <w:rFonts w:ascii="Arial" w:hAnsi="Arial" w:cs="Arial"/>
          <w:b/>
          <w:bCs/>
          <w:i/>
          <w:iCs/>
          <w:color w:val="auto"/>
          <w:sz w:val="20"/>
          <w:szCs w:val="20"/>
        </w:rPr>
        <w:t xml:space="preserve">наименование Агента, уполномоченного Эмитентом на приобретение Биржевых облигаций, его место нахождения, сведения о реквизитах его лицензии профессионального участника рынка ценных бумаг. </w:t>
      </w:r>
    </w:p>
    <w:p w:rsidR="008A56CB" w:rsidRPr="008A56CB" w:rsidRDefault="008A56CB" w:rsidP="008A56CB">
      <w:pPr>
        <w:pStyle w:val="Default"/>
        <w:ind w:firstLine="567"/>
        <w:jc w:val="both"/>
        <w:rPr>
          <w:rFonts w:ascii="Arial" w:hAnsi="Arial" w:cs="Arial"/>
          <w:color w:val="auto"/>
          <w:sz w:val="20"/>
          <w:szCs w:val="20"/>
        </w:rPr>
      </w:pP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3. Эмитент раскрывает информацию об итогах приобретения Биржевых облигаций, в том числе о количестве приобретенных Биржевых облигаций, в порядке, установленном для раскрытия информации о существенных фактах, в соответствии с нормативными актами в сфере финансовых рынков в следующие сроки с даты окончания установленного срока приобретения Биржевых облигаций: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color w:val="auto"/>
          <w:sz w:val="20"/>
          <w:szCs w:val="20"/>
        </w:rPr>
        <w:t xml:space="preserve">- </w:t>
      </w:r>
      <w:r w:rsidRPr="008A56CB">
        <w:rPr>
          <w:rFonts w:ascii="Arial" w:hAnsi="Arial" w:cs="Arial"/>
          <w:b/>
          <w:bCs/>
          <w:i/>
          <w:iCs/>
          <w:color w:val="auto"/>
          <w:sz w:val="20"/>
          <w:szCs w:val="20"/>
        </w:rPr>
        <w:t xml:space="preserve">в ленте новостей - не позднее 1 (Одного) дня; </w:t>
      </w:r>
    </w:p>
    <w:p w:rsidR="008A56CB" w:rsidRPr="008A56CB" w:rsidRDefault="008A56CB" w:rsidP="008A56CB">
      <w:pPr>
        <w:pStyle w:val="Default"/>
        <w:ind w:firstLine="567"/>
        <w:jc w:val="both"/>
        <w:rPr>
          <w:rFonts w:ascii="Arial" w:hAnsi="Arial" w:cs="Arial"/>
          <w:b/>
          <w:bCs/>
          <w:i/>
          <w:iCs/>
          <w:color w:val="auto"/>
          <w:sz w:val="20"/>
          <w:szCs w:val="20"/>
        </w:rPr>
      </w:pPr>
      <w:r w:rsidRPr="008A56CB">
        <w:rPr>
          <w:rFonts w:ascii="Arial" w:hAnsi="Arial" w:cs="Arial"/>
          <w:color w:val="auto"/>
          <w:sz w:val="20"/>
          <w:szCs w:val="20"/>
        </w:rPr>
        <w:t xml:space="preserve">- </w:t>
      </w:r>
      <w:r w:rsidRPr="008A56CB">
        <w:rPr>
          <w:rFonts w:ascii="Arial" w:hAnsi="Arial" w:cs="Arial"/>
          <w:b/>
          <w:bCs/>
          <w:i/>
          <w:iCs/>
          <w:color w:val="auto"/>
          <w:sz w:val="20"/>
          <w:szCs w:val="20"/>
        </w:rPr>
        <w:t xml:space="preserve">на странице Эмитента в сети Интернет - не позднее 2 (Двух) дней.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При этом публикация на странице Эмитента в сети Интернет осуществляется после публикации в ленте новостей. </w:t>
      </w:r>
    </w:p>
    <w:p w:rsidR="008A56CB" w:rsidRPr="008A56CB" w:rsidRDefault="008A56CB" w:rsidP="008A56CB">
      <w:pPr>
        <w:pStyle w:val="Default"/>
        <w:ind w:firstLine="567"/>
        <w:rPr>
          <w:rFonts w:ascii="Arial" w:hAnsi="Arial" w:cs="Arial"/>
          <w:b/>
          <w:bCs/>
          <w:i/>
          <w:iCs/>
          <w:color w:val="auto"/>
          <w:sz w:val="20"/>
          <w:szCs w:val="20"/>
        </w:rPr>
      </w:pP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4. Приобретение Эмитентом Биржевых облигаций осуществляется через организатора торговли, указанного в п. 8.3. Программы биржевых облигаций, в соответствии с нормативными документами, регулирующими деятельность организатора торговли.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В случае невозможности приобретения Биржевых облигаций вследствие реорганизации, ликвидации организатора торговли либо в силу требований законодательства Российской Федерации, Эмитент принимает решение об ином организаторе торговли, через которого будут заключаться сделки по приобретению Биржевых облигаций. Приобретение Биржевых облигаций в этом случае будет осуществляться в соответствии с нормативными и внутренними документами, регулирующими деятельность такого организатора торговли.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При смене организатора торговли, через которого будут заключаться сделки по приобретению Биржевых облигаций, Эмитент должен опубликовать информацию о новом организаторе торговли, через которого будут заключаться сделки по приобретению Биржевых облигаций. Указанная информация будет включать в себя: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 полное и сокращенное наименования организатора торговли на рынке ценных бумаг;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 его место нахождения, номер телефона, факса;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 сведения о лицензии: номер, дата выдачи, срок действия, орган, выдавший лицензию;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 порядок осуществления приобретения Биржевых облигаций в соответствии с правилами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организатора торговли. </w:t>
      </w:r>
    </w:p>
    <w:p w:rsidR="008A56CB" w:rsidRPr="008A56CB" w:rsidRDefault="008A56CB" w:rsidP="008A56CB">
      <w:pPr>
        <w:pStyle w:val="Default"/>
        <w:ind w:firstLine="567"/>
        <w:jc w:val="both"/>
        <w:rPr>
          <w:rFonts w:ascii="Arial" w:hAnsi="Arial" w:cs="Arial"/>
          <w:color w:val="auto"/>
          <w:sz w:val="20"/>
          <w:szCs w:val="20"/>
        </w:rPr>
      </w:pPr>
      <w:r w:rsidRPr="008A56CB">
        <w:rPr>
          <w:rFonts w:ascii="Arial" w:hAnsi="Arial" w:cs="Arial"/>
          <w:b/>
          <w:bCs/>
          <w:i/>
          <w:iCs/>
          <w:color w:val="auto"/>
          <w:sz w:val="20"/>
          <w:szCs w:val="20"/>
        </w:rPr>
        <w:t xml:space="preserve">Раскрытие информации осуществляется Эмитентом в форме сообщения о существенном факте в порядке, предусмотренном в п. 11 Программы биржевых облигаций и п. 8.11. раздела VIII Проспекта ценных бумаг. </w:t>
      </w:r>
    </w:p>
    <w:p w:rsidR="008A56CB" w:rsidRPr="008A56CB" w:rsidRDefault="008A56CB" w:rsidP="008A56CB">
      <w:pPr>
        <w:pStyle w:val="Default"/>
        <w:rPr>
          <w:color w:val="auto"/>
          <w:sz w:val="20"/>
          <w:szCs w:val="20"/>
        </w:rPr>
      </w:pPr>
    </w:p>
    <w:p w:rsidR="008A56CB" w:rsidRPr="008A56CB" w:rsidRDefault="008A56CB" w:rsidP="00A06BCF">
      <w:pPr>
        <w:pStyle w:val="Default"/>
        <w:ind w:firstLine="567"/>
        <w:rPr>
          <w:b/>
          <w:bCs/>
          <w:i/>
          <w:iCs/>
          <w:color w:val="auto"/>
          <w:sz w:val="20"/>
          <w:szCs w:val="20"/>
        </w:rPr>
      </w:pPr>
      <w:r w:rsidRPr="008A56CB">
        <w:rPr>
          <w:color w:val="auto"/>
          <w:sz w:val="20"/>
          <w:szCs w:val="20"/>
        </w:rPr>
        <w:t xml:space="preserve">Иные условия приобретения облигаций: </w:t>
      </w:r>
      <w:r w:rsidRPr="008A56CB">
        <w:rPr>
          <w:rFonts w:ascii="Arial" w:hAnsi="Arial" w:cs="Arial"/>
          <w:b/>
          <w:bCs/>
          <w:i/>
          <w:iCs/>
          <w:color w:val="auto"/>
          <w:sz w:val="20"/>
          <w:szCs w:val="20"/>
        </w:rPr>
        <w:t>отсутствуют.</w:t>
      </w:r>
    </w:p>
    <w:p w:rsidR="008E501A" w:rsidRDefault="008E501A" w:rsidP="00886DC8">
      <w:pPr>
        <w:widowControl/>
        <w:spacing w:before="0" w:after="0"/>
        <w:jc w:val="both"/>
        <w:rPr>
          <w:rFonts w:eastAsiaTheme="minorHAnsi"/>
          <w:lang w:eastAsia="en-US"/>
        </w:rPr>
      </w:pPr>
    </w:p>
    <w:p w:rsidR="00886DC8" w:rsidRPr="003F1D31" w:rsidRDefault="00886DC8" w:rsidP="00886DC8">
      <w:pPr>
        <w:widowControl/>
        <w:spacing w:before="0" w:after="0"/>
        <w:ind w:firstLine="540"/>
        <w:jc w:val="both"/>
        <w:outlineLvl w:val="1"/>
        <w:rPr>
          <w:rFonts w:ascii="Arial" w:eastAsiaTheme="minorHAnsi" w:hAnsi="Arial" w:cs="Arial"/>
          <w:b/>
          <w:i/>
          <w:sz w:val="28"/>
          <w:szCs w:val="28"/>
          <w:lang w:eastAsia="en-US"/>
        </w:rPr>
      </w:pPr>
      <w:bookmarkStart w:id="124" w:name="_Toc448251219"/>
      <w:r w:rsidRPr="003F1D31">
        <w:rPr>
          <w:rFonts w:ascii="Arial" w:eastAsiaTheme="minorHAnsi" w:hAnsi="Arial" w:cs="Arial"/>
          <w:b/>
          <w:i/>
          <w:sz w:val="28"/>
          <w:szCs w:val="28"/>
          <w:lang w:eastAsia="en-US"/>
        </w:rPr>
        <w:t>8.11. Порядок раскрытия эмитентом информации о выпуске (дополнительном выпуске) ценных бумаг</w:t>
      </w:r>
      <w:bookmarkEnd w:id="124"/>
    </w:p>
    <w:p w:rsidR="00A06BCF" w:rsidRDefault="00A06BCF" w:rsidP="00886DC8">
      <w:pPr>
        <w:widowControl/>
        <w:spacing w:before="0" w:after="0"/>
        <w:ind w:firstLine="540"/>
        <w:jc w:val="both"/>
        <w:rPr>
          <w:rFonts w:eastAsiaTheme="minorHAnsi"/>
          <w:lang w:eastAsia="en-US"/>
        </w:rPr>
      </w:pPr>
    </w:p>
    <w:p w:rsidR="00886DC8" w:rsidRPr="00886DC8" w:rsidRDefault="00886DC8" w:rsidP="00886DC8">
      <w:pPr>
        <w:widowControl/>
        <w:spacing w:before="0" w:after="0"/>
        <w:ind w:firstLine="540"/>
        <w:jc w:val="both"/>
        <w:rPr>
          <w:rFonts w:eastAsiaTheme="minorHAnsi"/>
          <w:lang w:eastAsia="en-US"/>
        </w:rPr>
      </w:pPr>
      <w:r w:rsidRPr="00886DC8">
        <w:rPr>
          <w:rFonts w:eastAsiaTheme="minorHAnsi"/>
          <w:lang w:eastAsia="en-US"/>
        </w:rPr>
        <w:t>Указывается порядок раскрытия эмитентом информации о выпуске (дополнительном выпуске) ценных бумаг.</w:t>
      </w:r>
    </w:p>
    <w:p w:rsidR="00886DC8" w:rsidRPr="00886DC8" w:rsidRDefault="00886DC8" w:rsidP="00886DC8">
      <w:pPr>
        <w:widowControl/>
        <w:spacing w:before="0" w:after="0"/>
        <w:ind w:firstLine="540"/>
        <w:jc w:val="both"/>
        <w:rPr>
          <w:rFonts w:eastAsiaTheme="minorHAnsi"/>
          <w:lang w:eastAsia="en-US"/>
        </w:rPr>
      </w:pPr>
      <w:r w:rsidRPr="00886DC8">
        <w:rPr>
          <w:rFonts w:eastAsiaTheme="minorHAnsi"/>
          <w:lang w:eastAsia="en-US"/>
        </w:rPr>
        <w:t>В случае если информация раскрывается путем опубликования в периодическом печатном издании (изданиях), указывается название такого издания (изданий).</w:t>
      </w:r>
    </w:p>
    <w:p w:rsidR="00886DC8" w:rsidRPr="00886DC8" w:rsidRDefault="00886DC8" w:rsidP="00886DC8">
      <w:pPr>
        <w:widowControl/>
        <w:spacing w:before="0" w:after="0"/>
        <w:ind w:firstLine="540"/>
        <w:jc w:val="both"/>
        <w:rPr>
          <w:rFonts w:eastAsiaTheme="minorHAnsi"/>
          <w:lang w:eastAsia="en-US"/>
        </w:rPr>
      </w:pPr>
      <w:r w:rsidRPr="00886DC8">
        <w:rPr>
          <w:rFonts w:eastAsiaTheme="minorHAnsi"/>
          <w:lang w:eastAsia="en-US"/>
        </w:rPr>
        <w:t>В случае если информация раскрывается путем опубликования на странице в сети Интернет, указывается адрес такой страницы в сети Интернет.</w:t>
      </w:r>
    </w:p>
    <w:p w:rsidR="00886DC8" w:rsidRPr="00886DC8" w:rsidRDefault="00886DC8" w:rsidP="00886DC8">
      <w:pPr>
        <w:widowControl/>
        <w:spacing w:before="0" w:after="0"/>
        <w:ind w:firstLine="540"/>
        <w:jc w:val="both"/>
        <w:rPr>
          <w:rFonts w:eastAsiaTheme="minorHAnsi"/>
          <w:lang w:eastAsia="en-US"/>
        </w:rPr>
      </w:pPr>
      <w:r w:rsidRPr="00886DC8">
        <w:rPr>
          <w:rFonts w:eastAsiaTheme="minorHAnsi"/>
          <w:lang w:eastAsia="en-US"/>
        </w:rPr>
        <w:t>В случае если эмитент обязан раскрывать информацию в форме ежеквартального отчета и сообщений о существенных фактах, указывается на это обстоятельство.</w:t>
      </w:r>
    </w:p>
    <w:p w:rsidR="00886DC8" w:rsidRPr="00E948B6" w:rsidRDefault="00886DC8" w:rsidP="00886DC8">
      <w:pPr>
        <w:widowControl/>
        <w:spacing w:before="0" w:after="0"/>
        <w:jc w:val="both"/>
        <w:rPr>
          <w:rFonts w:ascii="Arial" w:eastAsiaTheme="minorHAnsi" w:hAnsi="Arial" w:cs="Arial"/>
          <w:lang w:eastAsia="en-US"/>
        </w:rPr>
      </w:pP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Эмитент осуществляет раскрытие информации на каждом этапе процедуры эмиссии ценных бумаг в соответствии с требованиями Федерального закона «О рынке ценных бумаг», Федерального закона «Об акционерных обществах», нормативными актами в сфере финансовых рынков, а также правилами биржи, устанавливающими порядок допуска биржевых облигаций к торгам, в порядке и сроки, предусмотренные Программой биржевых облигаций, Условиями выпуска и Проспектом ценных бумаг, а также действующим законодательством РФ.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На дату утверждения Программы биржевых облигаций и Проспекта ценных бумаг у Эмитента существует обязанность по раскрытию информации в форме сообщений о существенных фактах и ежеквартальных отчетов эмитента ценных бумаг. </w:t>
      </w:r>
    </w:p>
    <w:p w:rsidR="00E948B6" w:rsidRPr="00E948B6" w:rsidRDefault="00E948B6" w:rsidP="00A06BCF">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 xml:space="preserve">В случаях, когда Эмитент обязан опубликовать информацию в ленте новостей, такое опубликование должно осуществляться в ленте новостей хотя бы одного из информационных агентств, уполномоченных в установленном прядке на проведение действий по раскрытию информации о ценных бумагах и об иных финансовых инструментах (ранее и далее – «лента новостей»), не позднее последнего дня, в течение которого должно быть осуществлено такое опубликование. </w:t>
      </w:r>
    </w:p>
    <w:p w:rsidR="00E948B6" w:rsidRPr="00E948B6" w:rsidRDefault="00E948B6" w:rsidP="00A06BCF">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 xml:space="preserve">При опубликовании информации в сети Интернет, за исключением публикации в ленте новостей, Эмитент должен использовать страницу в сети Интернет, предоставляемую одним из распространителей информации на рынке ценных бумаг. Адрес такой страницы в сети Интернет, используемой Эмитентом для раскрытия информации и предоставленной информационным агентством: </w:t>
      </w:r>
      <w:hyperlink r:id="rId17" w:history="1">
        <w:r w:rsidRPr="00E948B6">
          <w:rPr>
            <w:rFonts w:ascii="Arial" w:hAnsi="Arial" w:cs="Arial"/>
            <w:b/>
            <w:i/>
            <w:iCs/>
            <w:color w:val="auto"/>
            <w:sz w:val="20"/>
            <w:szCs w:val="20"/>
          </w:rPr>
          <w:t>http://www.e-disclosure.ru/portal/company.aspx?id=23065</w:t>
        </w:r>
      </w:hyperlink>
      <w:r w:rsidRPr="00E948B6">
        <w:rPr>
          <w:rFonts w:ascii="Arial" w:hAnsi="Arial" w:cs="Arial"/>
          <w:b/>
          <w:i/>
          <w:iCs/>
          <w:color w:val="auto"/>
          <w:sz w:val="20"/>
          <w:szCs w:val="20"/>
        </w:rPr>
        <w:t xml:space="preserve"> </w:t>
      </w:r>
      <w:r w:rsidRPr="00E948B6">
        <w:rPr>
          <w:rFonts w:ascii="Arial" w:hAnsi="Arial" w:cs="Arial"/>
          <w:b/>
          <w:bCs/>
          <w:i/>
          <w:iCs/>
          <w:color w:val="auto"/>
          <w:sz w:val="20"/>
          <w:szCs w:val="20"/>
        </w:rPr>
        <w:t>(по тексту Программы биржевых облигаций именуется «страница Эмитента в сети Интернет»).</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Текст сообщения о существенном факте должен быть доступен на странице Эмитента в сети Интернет в течение не менее 12 (Двенадцати) месяцев с даты истечения срока, установленного нормативными актами, определяющими порядок и сроки раскрытия информации, для его опубликования в сети Интернет, а если он опубликован в сети Интернет после истечения такого срока, - с даты его опубликования в сети Интернет.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В случае если на момент наступления события, о котором Эмитент должен раскрыть информацию в соответствии с действующими федеральными законами, а также нормативными актами в сфере финансовых рынков, установлены иной порядок и сроки раскрытия информации о таком событии, нежели порядок и сроки, предусмотренные Программой биржевых облигаций и Проспектом ценных бумаг, информация о таком событии раскрывается в порядке и сроки, предусмотренные федеральными законами, а также нормативными актами в сфере финансовых рынков, действующими на момент наступления события. </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1) Информация о принятии уполномоченным органом управления Эмитента решения об утверждении Программы биржевых облигаций раскрывается Эмитентом в форме сообщения о существенном факте в соответствии с нормативными актами в сфере финансовых рынков. Раскрытие информации происходит в следующие сроки: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в ленте новостей - не позднее 1 (Одного) дня </w:t>
      </w:r>
      <w:r w:rsidRPr="00E948B6">
        <w:rPr>
          <w:rFonts w:ascii="Arial" w:hAnsi="Arial" w:cs="Arial"/>
          <w:b/>
          <w:bCs/>
          <w:i/>
          <w:iCs/>
          <w:sz w:val="20"/>
          <w:szCs w:val="20"/>
        </w:rPr>
        <w:t>с даты составления протокола (даты истечения срока, установленного законодательством Российской Федерации для составления протокола) заседания уполномоченного органа Эмитента, на котором принято решение об утверждении Программы биржевых облигаций</w:t>
      </w:r>
      <w:r w:rsidRPr="00E948B6">
        <w:rPr>
          <w:rFonts w:ascii="Arial" w:hAnsi="Arial" w:cs="Arial"/>
          <w:b/>
          <w:bCs/>
          <w:i/>
          <w:iCs/>
          <w:color w:val="auto"/>
          <w:sz w:val="20"/>
          <w:szCs w:val="20"/>
        </w:rPr>
        <w:t xml:space="preserve">;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на странице Эмитента в сети Интернет - не позднее 2 (Двух) дней </w:t>
      </w:r>
      <w:r w:rsidRPr="00E948B6">
        <w:rPr>
          <w:rFonts w:ascii="Arial" w:hAnsi="Arial" w:cs="Arial"/>
          <w:b/>
          <w:bCs/>
          <w:i/>
          <w:iCs/>
          <w:sz w:val="20"/>
          <w:szCs w:val="20"/>
        </w:rPr>
        <w:t>с даты составления протокола (даты истечения срока, установленного законодательством Российской Федерации для составления протокола) заседания уполномоченного органа Эмитента, на котором принято решение об утверждении Программы биржевых облигаций</w:t>
      </w:r>
      <w:r w:rsidRPr="00E948B6">
        <w:rPr>
          <w:rFonts w:ascii="Arial" w:hAnsi="Arial" w:cs="Arial"/>
          <w:b/>
          <w:bCs/>
          <w:i/>
          <w:iCs/>
          <w:color w:val="auto"/>
          <w:sz w:val="20"/>
          <w:szCs w:val="20"/>
        </w:rPr>
        <w:t>.</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При этом публикация на странице Эмитента в сети Интернет осуществляется после публикации в ленте новостей. </w:t>
      </w:r>
    </w:p>
    <w:p w:rsidR="00E948B6" w:rsidRPr="00E948B6" w:rsidRDefault="00E948B6" w:rsidP="00A06BCF">
      <w:pPr>
        <w:pStyle w:val="Default"/>
        <w:ind w:firstLine="567"/>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2) Информация об утверждении Эмитентом Условий выпуска раскрывается Эмитентом в форме сообщения о существенном факте в соответствии с нормативными актами в сфере финансовых рынков. Раскрытие информации происходит в следующие сроки: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в ленте новостей - не позднее 1 (Одного) дня </w:t>
      </w:r>
      <w:r w:rsidRPr="00E948B6">
        <w:rPr>
          <w:rFonts w:ascii="Arial" w:hAnsi="Arial" w:cs="Arial"/>
          <w:b/>
          <w:bCs/>
          <w:i/>
          <w:iCs/>
          <w:sz w:val="20"/>
          <w:szCs w:val="20"/>
        </w:rPr>
        <w:t>с даты принятия решения об утверждении Условий выпуска</w:t>
      </w:r>
      <w:r w:rsidRPr="00E948B6">
        <w:rPr>
          <w:rFonts w:ascii="Arial" w:hAnsi="Arial" w:cs="Arial"/>
          <w:b/>
          <w:bCs/>
          <w:i/>
          <w:iCs/>
          <w:color w:val="auto"/>
          <w:sz w:val="20"/>
          <w:szCs w:val="20"/>
        </w:rPr>
        <w:t xml:space="preserve">;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на странице Эмитента в сети Интернет - не позднее 2 (Двух) дней </w:t>
      </w:r>
      <w:r w:rsidRPr="00E948B6">
        <w:rPr>
          <w:rFonts w:ascii="Arial" w:hAnsi="Arial" w:cs="Arial"/>
          <w:b/>
          <w:bCs/>
          <w:i/>
          <w:iCs/>
          <w:sz w:val="20"/>
          <w:szCs w:val="20"/>
        </w:rPr>
        <w:t>с даты принятия решения об утверждении Условий выпуска</w:t>
      </w:r>
      <w:r w:rsidRPr="00E948B6">
        <w:rPr>
          <w:rFonts w:ascii="Arial" w:hAnsi="Arial" w:cs="Arial"/>
          <w:b/>
          <w:bCs/>
          <w:i/>
          <w:iCs/>
          <w:color w:val="auto"/>
          <w:sz w:val="20"/>
          <w:szCs w:val="20"/>
        </w:rPr>
        <w:t xml:space="preserve">.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При этом публикация на странице Эмитента в сети Интернет осуществляется после публикации в ленте новостей. </w:t>
      </w:r>
    </w:p>
    <w:p w:rsidR="00E948B6" w:rsidRPr="00E948B6" w:rsidRDefault="00E948B6" w:rsidP="00A06BCF">
      <w:pPr>
        <w:pStyle w:val="Default"/>
        <w:ind w:firstLine="567"/>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3) Информация о присвоении Программе биржевых облигаций идентификационного номера публикуется Эмитентом в форме сообщения о существенном факте в следующие сроки с даты опубликования информации о присвоении программе биржевых облигаций идентификационного номера на странице биржи, осуществившей его присвоение, в сети Интернет или получения эмитентом письменного уведомления биржи, осуществившей присвоение программе биржевых облигаций идентификационного номера, о его присвоении посредством почтовой, факсимильной, электронной связи, вручения под подпись в зависимости от того, какая из указанных дат наступит раньше:</w:t>
      </w:r>
    </w:p>
    <w:p w:rsidR="00E948B6" w:rsidRPr="00E948B6" w:rsidRDefault="00E948B6" w:rsidP="00A06BCF">
      <w:pPr>
        <w:spacing w:after="0"/>
        <w:ind w:firstLine="567"/>
        <w:jc w:val="both"/>
        <w:rPr>
          <w:rFonts w:ascii="Arial" w:hAnsi="Arial" w:cs="Arial"/>
          <w:b/>
          <w:bCs/>
          <w:i/>
          <w:iCs/>
        </w:rPr>
      </w:pPr>
      <w:r w:rsidRPr="00E948B6">
        <w:rPr>
          <w:rFonts w:ascii="Arial" w:hAnsi="Arial" w:cs="Arial"/>
          <w:b/>
          <w:bCs/>
          <w:i/>
          <w:iCs/>
        </w:rPr>
        <w:t>- в ленте новостей - не позднее 1 (Одного) дня;</w:t>
      </w:r>
    </w:p>
    <w:p w:rsidR="00E948B6" w:rsidRPr="00E948B6" w:rsidRDefault="00E948B6" w:rsidP="00A06BCF">
      <w:pPr>
        <w:spacing w:after="0"/>
        <w:ind w:firstLine="567"/>
        <w:jc w:val="both"/>
        <w:rPr>
          <w:rFonts w:ascii="Arial" w:hAnsi="Arial" w:cs="Arial"/>
          <w:b/>
          <w:bCs/>
          <w:i/>
          <w:iCs/>
        </w:rPr>
      </w:pPr>
      <w:r w:rsidRPr="00E948B6">
        <w:rPr>
          <w:rFonts w:ascii="Arial" w:hAnsi="Arial" w:cs="Arial"/>
          <w:b/>
          <w:bCs/>
          <w:i/>
          <w:iCs/>
        </w:rPr>
        <w:t>- на странице в сети Интернет - не позднее 2 (Двух) дней.</w:t>
      </w:r>
    </w:p>
    <w:p w:rsidR="00E948B6" w:rsidRPr="00E948B6" w:rsidRDefault="00E948B6" w:rsidP="00A06BCF">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 xml:space="preserve">При этом публикация на странице Эмитента в сети Интернет осуществляется после публикации в ленте новостей. </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3.1) Информация о присвоении отдельному выпуску Биржевых облигаций идентификационного номера публикуется Эмитентом в форме сообщения о существенном факте в следующие сроки с даты опубликования ФБ ММВБ информации о присвоении выпуску Биржевых облигаций идентификационного номера на странице ФБ ММВБ в сети Интернет или получения Эмитентом письменного уведомления о присвоении выпуску Биржевых облигаций идентификационного номера в зависимости от того, какая из указанных дат наступит раньше: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в ленте новостей - не позднее 1 (Одного) дня;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на странице Эмитента в сети Интернет - не позднее 2 (Двух) дней.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При этом публикация на странице Эмитента в сети Интернет осуществляется после публикации в ленте новостей. </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4) В случае допуска Биржевых облигаций к торгам в процессе их размещения (включении Биржевых облигаций в список ценных бумаг, допущенных к организованным торгам в ЗАО «ФБ ММВБ» (далее также - Список) Эмитент и ФБ ММВБ обязаны обеспечить доступ к информации, содержащейся в Программе биржевых облигаций, Условиях выпуска и в Проспекте, любым заинтересованным в этом лицам независимо от целей получения такой информации не позднее даты начала размещения Биржевых облигаций соответствующего выпуска, а также раскрыть информацию о допуске Биржевых облигаций к торгам на Бирже в установленном порядке. </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5) Информация о включении Биржевых облигаций в Список должна быть раскрыта Эмитентом в форме сообщения о существенном факте в соответствии с нормативными актами в сфере финансовых рынков в следующие сроки с даты раскрытия Биржей через представительство ЗАО «ФБ ММВБ» в сети Интернет информации о включении Биржевых облигаций в Список или получения Эмитентом письменного уведомления Биржи о принятых решениях посредством почтовой, факсимильной, электронной связи, вручения под роспись в зависимости от того, какая из указанных дат наступит раньше: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в ленте новостей - не позднее 1 (Одного) дня;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на странице Эмитента в сети Интернет - не позднее 2 (Двух) дней.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При этом публикация на странице Эмитента в сети Интернет осуществляется после публикации в ленте новостей. </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6) Эмитент обязан опубликовать текст представленной Бирже Программы биржевых облигаций на странице в сети Интернет в срок не позднее даты начала размещения Биржевых  облигаций первого выпуска в рамках Программы биржевых облигаций.</w:t>
      </w:r>
    </w:p>
    <w:p w:rsidR="00E948B6" w:rsidRPr="00E948B6" w:rsidRDefault="00E948B6" w:rsidP="00A06BCF">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При публикации текста представленной Бирже Программы биржевых облигаций на странице в сети Интернет должны быть указаны идентификационный номер, присвоенный Программе биржевых облигаций, дата его присвоения и наименование биржи, осуществившей присвоение Программе биржевых облигаций идентификационного номера.</w:t>
      </w:r>
    </w:p>
    <w:p w:rsidR="00E948B6" w:rsidRPr="00E948B6" w:rsidRDefault="00E948B6" w:rsidP="00A06BCF">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Текст представленной Бирже Программы биржевых облигаций должен быть доступен в сети Интернет с даты истечения срока, установленного Положением о раскрытии информации эмитентами эмиссионных ценных бумаг, утвержденным Банком России 30.12.2014 №454-П (далее – «Положение») для его опубликования в сети Интернет, а если он опубликован в сети Интернет после истечения такого срока - с даты его опубликования в сети Интернет и до истечения срока действия Программы биржевых облигаций, если ни одна Биржевая облигация в рамках Программы биржевых облигаций не была размещена.</w:t>
      </w:r>
      <w:r w:rsidRPr="00E948B6" w:rsidDel="002B12CD">
        <w:rPr>
          <w:rFonts w:ascii="Arial" w:hAnsi="Arial" w:cs="Arial"/>
          <w:b/>
          <w:bCs/>
          <w:i/>
          <w:iCs/>
          <w:color w:val="auto"/>
          <w:sz w:val="20"/>
          <w:szCs w:val="20"/>
        </w:rPr>
        <w:t xml:space="preserve"> </w:t>
      </w:r>
      <w:r w:rsidRPr="00E948B6">
        <w:rPr>
          <w:rFonts w:ascii="Arial" w:hAnsi="Arial" w:cs="Arial"/>
          <w:b/>
          <w:bCs/>
          <w:i/>
          <w:iCs/>
          <w:color w:val="auto"/>
          <w:sz w:val="20"/>
          <w:szCs w:val="20"/>
        </w:rPr>
        <w:t>).</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spacing w:after="0"/>
        <w:ind w:firstLine="567"/>
        <w:jc w:val="both"/>
        <w:rPr>
          <w:rFonts w:ascii="Arial" w:hAnsi="Arial" w:cs="Arial"/>
          <w:b/>
          <w:bCs/>
          <w:i/>
          <w:iCs/>
        </w:rPr>
      </w:pPr>
      <w:r w:rsidRPr="00E948B6">
        <w:rPr>
          <w:rFonts w:ascii="Arial" w:hAnsi="Arial" w:cs="Arial"/>
          <w:b/>
          <w:bCs/>
          <w:i/>
          <w:iCs/>
        </w:rPr>
        <w:t>Эмитент обязан опубликовать текст представленного Бирже проспекта ценных бумаг, которые могут быть размещены в рамках Программы биржевых облигаций, на странице в сети Интернет в срок не позднее даты начала размещения Биржевых облигаций первого выпуска в рамках Программы биржевых облигаций.</w:t>
      </w:r>
    </w:p>
    <w:p w:rsidR="00E948B6" w:rsidRPr="00E948B6" w:rsidRDefault="00E948B6" w:rsidP="00A06BCF">
      <w:pPr>
        <w:spacing w:after="0"/>
        <w:ind w:firstLine="567"/>
        <w:jc w:val="both"/>
        <w:rPr>
          <w:rFonts w:ascii="Arial" w:hAnsi="Arial" w:cs="Arial"/>
          <w:b/>
          <w:bCs/>
          <w:i/>
          <w:iCs/>
        </w:rPr>
      </w:pPr>
      <w:r w:rsidRPr="00E948B6">
        <w:rPr>
          <w:rFonts w:ascii="Arial" w:hAnsi="Arial" w:cs="Arial"/>
          <w:b/>
          <w:bCs/>
          <w:i/>
          <w:iCs/>
        </w:rPr>
        <w:t>При публикации текста представленного Бирже проспекта ценных бумаг на странице в сети Интернет должны быть указаны идентификационный номер Программы биржевых облигаций, дата его присвоения и наименование биржи, осуществившей присвоение Программе биржевых облигаций идентификационного номера.</w:t>
      </w:r>
    </w:p>
    <w:p w:rsidR="00E948B6" w:rsidRPr="00E948B6" w:rsidRDefault="00E948B6" w:rsidP="00A06BCF">
      <w:pPr>
        <w:spacing w:after="0"/>
        <w:ind w:firstLine="567"/>
        <w:jc w:val="both"/>
        <w:rPr>
          <w:rFonts w:ascii="Arial" w:hAnsi="Arial" w:cs="Arial"/>
          <w:b/>
          <w:bCs/>
          <w:i/>
          <w:iCs/>
        </w:rPr>
      </w:pPr>
      <w:r w:rsidRPr="00E948B6">
        <w:rPr>
          <w:rFonts w:ascii="Arial" w:hAnsi="Arial" w:cs="Arial"/>
          <w:b/>
          <w:bCs/>
          <w:i/>
          <w:iCs/>
        </w:rPr>
        <w:t>Текст представленного бирже проспекта ценных бумаг, которые могут быть размещены в рамках Программы биржевых облигаций, должен быть доступен в сети Интернет с даты истечения срока, установленного Положением для его опубликования в сети Интернет, а если он опубликован в сети Интернет после истечения такого срока - с даты его опубликования в сети Интернет, и до погашения всех Биржевых облигаций, размещаемых в рамках Программы биржевых облигаций (до истечения срока действия Программы биржевых облигаций, если ни одна Биржевая облигация в рамках Программы биржевых облигаций не была размещена).</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Не позднее даты начала размещения Биржевых облигаций, Эмитент публикует текст Условий выпуска на странице Эмитента в сети Интернет.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При опубликовании текста Условий выпуска на странице Эмитента в сети Интернет должны быть указаны идентификационный номер, присвоенный выпуску биржей, дата его присвоения и наименование биржи, осуществившей допуск Биржевых облигаций к торгам.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Текст Условий выпуска должен быть доступен на странице Эмитента в сети Интернет с даты его опубликования на странице Эмитента в сети Интернет и до погашения (аннулирования) всех Биржевых облигаций выпуска. </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 xml:space="preserve">7) Все заинтересованные лица могут ознакомиться с Программой биржевых облигаций, Условиями выпуска и Проспектом ценных бумаг и получить их копии за плату, не превышающую затраты на их изготовление по следующим адресам: </w:t>
      </w:r>
    </w:p>
    <w:p w:rsidR="00E948B6" w:rsidRPr="00E948B6" w:rsidRDefault="00E948B6" w:rsidP="00A06BCF">
      <w:pPr>
        <w:pStyle w:val="Default"/>
        <w:ind w:firstLine="567"/>
        <w:jc w:val="both"/>
        <w:rPr>
          <w:rFonts w:ascii="Arial" w:hAnsi="Arial" w:cs="Arial"/>
          <w:b/>
          <w:i/>
          <w:iCs/>
          <w:color w:val="auto"/>
          <w:sz w:val="20"/>
          <w:szCs w:val="20"/>
        </w:rPr>
      </w:pPr>
      <w:r w:rsidRPr="00E948B6">
        <w:rPr>
          <w:rFonts w:ascii="Arial" w:hAnsi="Arial" w:cs="Arial"/>
          <w:b/>
          <w:i/>
          <w:iCs/>
          <w:color w:val="auto"/>
          <w:sz w:val="20"/>
          <w:szCs w:val="20"/>
        </w:rPr>
        <w:t>Закрытое акционерное общество Специализированное Строительно-Монтажное Объединение "ЛенСпецСМУ"</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Место нахождения эмитента: 197348, г. Санкт-Петербург, Богатырский проспект, д.2, Литер А</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Телефон: + 7(812) 348-35-15;</w:t>
      </w:r>
      <w:r w:rsidRPr="00E948B6">
        <w:rPr>
          <w:rFonts w:ascii="Arial" w:hAnsi="Arial" w:cs="Arial"/>
          <w:b/>
          <w:bCs/>
          <w:i/>
          <w:iCs/>
          <w:sz w:val="20"/>
          <w:szCs w:val="20"/>
        </w:rPr>
        <w:t xml:space="preserve"> </w:t>
      </w:r>
    </w:p>
    <w:p w:rsidR="00E948B6" w:rsidRPr="00E948B6" w:rsidRDefault="00E948B6" w:rsidP="00A06BCF">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 xml:space="preserve">Страницы в сети Интернет на котором доступна информация об Эмитенте и о его ценных бумагах: </w:t>
      </w:r>
      <w:hyperlink r:id="rId18" w:history="1">
        <w:r w:rsidRPr="00E948B6">
          <w:rPr>
            <w:rFonts w:ascii="Arial" w:hAnsi="Arial" w:cs="Arial"/>
            <w:b/>
            <w:i/>
            <w:iCs/>
            <w:color w:val="auto"/>
            <w:sz w:val="20"/>
            <w:szCs w:val="20"/>
          </w:rPr>
          <w:t>http://finance.lenspecsmu.ru/</w:t>
        </w:r>
      </w:hyperlink>
      <w:r w:rsidRPr="00E948B6">
        <w:rPr>
          <w:rFonts w:ascii="Arial" w:hAnsi="Arial" w:cs="Arial"/>
          <w:b/>
          <w:bCs/>
          <w:i/>
          <w:iCs/>
          <w:color w:val="auto"/>
          <w:sz w:val="20"/>
          <w:szCs w:val="20"/>
        </w:rPr>
        <w:t xml:space="preserve">; </w:t>
      </w:r>
      <w:hyperlink r:id="rId19" w:history="1">
        <w:r w:rsidRPr="00E948B6">
          <w:rPr>
            <w:rFonts w:ascii="Arial" w:hAnsi="Arial" w:cs="Arial"/>
            <w:b/>
            <w:i/>
            <w:iCs/>
            <w:color w:val="auto"/>
            <w:sz w:val="20"/>
            <w:szCs w:val="20"/>
          </w:rPr>
          <w:t>http://www.e-disclosure.ru/portal/company.aspx?id=23065</w:t>
        </w:r>
      </w:hyperlink>
      <w:r w:rsidRPr="00E948B6">
        <w:rPr>
          <w:rFonts w:ascii="Arial" w:hAnsi="Arial" w:cs="Arial"/>
          <w:b/>
          <w:i/>
          <w:iCs/>
          <w:color w:val="auto"/>
          <w:sz w:val="20"/>
          <w:szCs w:val="20"/>
        </w:rPr>
        <w:t>.</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8) Эмитент раскрывает информацию о дате начала размещения Биржевых облигаций путем опубликования сообщения в ленте новостей и на странице Эмитента в сети Интернет не позднее, чем за 1 (Один) день до даты начала размещения Биржевых облигаций.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Об определенной дате начала размещения Эмитент уведомляет Биржу и НРД в согласованном порядке.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Определенная единоличным исполнительным органом</w:t>
      </w:r>
      <w:r w:rsidRPr="00E948B6" w:rsidDel="008E10FB">
        <w:rPr>
          <w:rFonts w:ascii="Arial" w:hAnsi="Arial" w:cs="Arial"/>
          <w:b/>
          <w:bCs/>
          <w:i/>
          <w:iCs/>
          <w:color w:val="auto"/>
          <w:sz w:val="20"/>
          <w:szCs w:val="20"/>
        </w:rPr>
        <w:t xml:space="preserve"> </w:t>
      </w:r>
      <w:r w:rsidRPr="00E948B6">
        <w:rPr>
          <w:rFonts w:ascii="Arial" w:hAnsi="Arial" w:cs="Arial"/>
          <w:b/>
          <w:bCs/>
          <w:i/>
          <w:iCs/>
          <w:color w:val="auto"/>
          <w:sz w:val="20"/>
          <w:szCs w:val="20"/>
        </w:rPr>
        <w:t xml:space="preserve">Эмитента дата начала размещения Биржевых облигаций, которая при этом не была установлена в Условиях выпуска, может быть перенесена (изменена) решением того же органа управления Эмитента, при условии соблюдения требований к порядку раскрытия информации об изменении даты начала размещения Биржевых облигаций, определенному законодательством Российской Федерации.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В случае принятия Эмитентом решения о переносе (изменении) даты начала размещения Биржевых облигаций, раскрытой в порядке, предусмотренном п. 11 Программы биржевых облигаций и разделом VIII Проспекта ценных бумаг, Эмитент обязан опубликовать сообщение об изменении даты начала размещения ценных бумаг в ленте новостей и на странице Эмитента в сети Интернет не позднее 1 (Одного) дня до наступления такой даты.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Об изменении даты начала размещения Биржевых облигаций Эмитент уведомляет Биржу и НРД не позднее, чем за 1 (один) день до наступления соответствующей даты. </w:t>
      </w:r>
    </w:p>
    <w:p w:rsidR="00E948B6" w:rsidRPr="00E948B6" w:rsidRDefault="00E948B6" w:rsidP="00A06BCF">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 xml:space="preserve">Перенос (изменение) даты начала размещения Биржевых облигаций, установленной в Условиях выпуска, путем опубликования сообщения об изменении даты начала размещения ценных бумаг в ленте новостей и на странице Эмитента в сети Интернет не допускается. </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9) Сообщение о принятии Эмитентом решения о порядке размещения ценных бумаг либо указывается в Условиях выпуска, либо раскрывается в форме сообщения о существенном факте не позднее, чем за 1 (Один) рабочий день до даты начала размещения Биржевых облигаций и в следующие сроки с даты составления протокола (даты истечения срока, установленного законодательством Российской Федерации для составления протокола) собрания (заседания) уполномоченного органа управления Эмитента, на котором принято решение о порядке размещения Биржевых облигаций</w:t>
      </w: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или с даты принятия такого решения уполномоченным органом Эмитента, если составление протокола не требуется: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 в ленте новостей - не позднее 1 (Одного) дня;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 на странице Эмитента в сети Интернет - не позднее 2 (Двух) дней. </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Указанная информация должна содержать в себе сведения об определенном Эмитентом порядке размещения (Размещение Биржевых облигаций в форме Конкурса или Размещение Биржевых облигаций путем сбора адресных заявок). </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В случае Размещения Биржевых облигаций путем сбора адресных заявок Эмитентом дополнительно раскрывается информация о сроке для направления оферт от потенциальных приобретателей Биржевых облигаций с предложением заключить Предварительные договоры в форме сообщения о существенном факте в следующие сроки с даты принятия уполномоченным органом управления Эмитента такого решения:</w:t>
      </w:r>
    </w:p>
    <w:p w:rsidR="00E948B6" w:rsidRPr="00E948B6" w:rsidRDefault="00E948B6" w:rsidP="00A06BCF">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 xml:space="preserve">- в ленте новостей - не позднее 1 (Одного) дня; </w:t>
      </w:r>
    </w:p>
    <w:p w:rsidR="00E948B6" w:rsidRPr="00E948B6" w:rsidRDefault="00E948B6" w:rsidP="00A06BCF">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 на странице Эмитента в сети Интернет - не позднее 2 (Двух) дней.</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При этом публикация на странице Эмитента в сети Интернет осуществляется после публикации в ленте новостей.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Указанное сообщение должно содержать в том числе следующую информацию: </w:t>
      </w:r>
    </w:p>
    <w:p w:rsidR="00E948B6" w:rsidRPr="00E948B6" w:rsidRDefault="00E948B6" w:rsidP="00E948B6">
      <w:pPr>
        <w:pStyle w:val="Default"/>
        <w:numPr>
          <w:ilvl w:val="0"/>
          <w:numId w:val="37"/>
        </w:numPr>
        <w:jc w:val="both"/>
        <w:rPr>
          <w:rFonts w:ascii="Arial" w:hAnsi="Arial" w:cs="Arial"/>
          <w:color w:val="auto"/>
          <w:sz w:val="20"/>
          <w:szCs w:val="20"/>
        </w:rPr>
      </w:pPr>
      <w:r w:rsidRPr="00E948B6">
        <w:rPr>
          <w:rFonts w:ascii="Arial" w:hAnsi="Arial" w:cs="Arial"/>
          <w:b/>
          <w:bCs/>
          <w:i/>
          <w:iCs/>
          <w:color w:val="auto"/>
          <w:sz w:val="20"/>
          <w:szCs w:val="20"/>
        </w:rPr>
        <w:t xml:space="preserve">форма оферты от потенциального покупателя с предложением заключить Предварительный договор, </w:t>
      </w:r>
    </w:p>
    <w:p w:rsidR="00E948B6" w:rsidRPr="00E948B6" w:rsidRDefault="00E948B6" w:rsidP="00E948B6">
      <w:pPr>
        <w:pStyle w:val="Default"/>
        <w:numPr>
          <w:ilvl w:val="0"/>
          <w:numId w:val="37"/>
        </w:numPr>
        <w:jc w:val="both"/>
        <w:rPr>
          <w:rFonts w:ascii="Arial" w:hAnsi="Arial" w:cs="Arial"/>
          <w:color w:val="auto"/>
          <w:sz w:val="20"/>
          <w:szCs w:val="20"/>
        </w:rPr>
      </w:pPr>
      <w:r w:rsidRPr="00E948B6">
        <w:rPr>
          <w:rFonts w:ascii="Arial" w:hAnsi="Arial" w:cs="Arial"/>
          <w:b/>
          <w:bCs/>
          <w:i/>
          <w:iCs/>
          <w:color w:val="auto"/>
          <w:sz w:val="20"/>
          <w:szCs w:val="20"/>
        </w:rPr>
        <w:t xml:space="preserve">дата и время начала срока для направления данных оферт; </w:t>
      </w:r>
    </w:p>
    <w:p w:rsidR="00E948B6" w:rsidRPr="00E948B6" w:rsidRDefault="00E948B6" w:rsidP="00E948B6">
      <w:pPr>
        <w:pStyle w:val="Default"/>
        <w:numPr>
          <w:ilvl w:val="0"/>
          <w:numId w:val="37"/>
        </w:numPr>
        <w:jc w:val="both"/>
        <w:rPr>
          <w:rFonts w:ascii="Arial" w:hAnsi="Arial" w:cs="Arial"/>
          <w:color w:val="auto"/>
          <w:sz w:val="20"/>
          <w:szCs w:val="20"/>
        </w:rPr>
      </w:pPr>
      <w:r w:rsidRPr="00E948B6">
        <w:rPr>
          <w:rFonts w:ascii="Arial" w:hAnsi="Arial" w:cs="Arial"/>
          <w:b/>
          <w:bCs/>
          <w:i/>
          <w:iCs/>
          <w:color w:val="auto"/>
          <w:sz w:val="20"/>
          <w:szCs w:val="20"/>
        </w:rPr>
        <w:t xml:space="preserve">дата и время окончания срока для направления данных оферт; </w:t>
      </w:r>
    </w:p>
    <w:p w:rsidR="00E948B6" w:rsidRPr="00E948B6" w:rsidRDefault="00E948B6" w:rsidP="00E948B6">
      <w:pPr>
        <w:pStyle w:val="Default"/>
        <w:numPr>
          <w:ilvl w:val="0"/>
          <w:numId w:val="37"/>
        </w:numPr>
        <w:jc w:val="both"/>
        <w:rPr>
          <w:rFonts w:ascii="Arial" w:hAnsi="Arial" w:cs="Arial"/>
          <w:color w:val="auto"/>
          <w:sz w:val="20"/>
          <w:szCs w:val="20"/>
        </w:rPr>
      </w:pPr>
      <w:r w:rsidRPr="00E948B6">
        <w:rPr>
          <w:rFonts w:ascii="Arial" w:hAnsi="Arial" w:cs="Arial"/>
          <w:b/>
          <w:bCs/>
          <w:i/>
          <w:iCs/>
          <w:color w:val="auto"/>
          <w:sz w:val="20"/>
          <w:szCs w:val="20"/>
        </w:rPr>
        <w:t xml:space="preserve">порядок направления данных оферт. </w:t>
      </w:r>
    </w:p>
    <w:p w:rsidR="00E948B6" w:rsidRPr="00E948B6" w:rsidRDefault="00E948B6" w:rsidP="00E948B6">
      <w:pPr>
        <w:pStyle w:val="Default"/>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Первоначально установленная решением Эмитента дата окончания срока для направления оферт от потенциальных покупателей Биржевых облигаций на заключение Предварительных договоров может быть изменена решением Эмитента. </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Информация об этом раскрывается в форме сообщения о существенном факте в следующие сроки с даты принятия такого решения единоличным исполнительным органом Эмитента: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 в ленте новостей - не позднее 1 (одного) дня;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 на странице Эмитента в сети Интернет - не позднее 2 (Двух) дней.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При этом публикация на странице Эмитента в сети Интернет осуществляется после публикации в ленте новостей.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Информация об истечении срока для направления предложений (оферт) от потенциальных покупателей Биржевых облигаций с предложением заключить Предварительный договор раскрывается Эмитентом в форме сообщения о существенном факте следующим образом: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 в ленте новостей - не позднее 1 (Одного) дня, следующего за истечением срока для направления предложений (оферт) о заключении Предварительных договоров; </w:t>
      </w:r>
    </w:p>
    <w:p w:rsidR="00E948B6" w:rsidRPr="00E948B6" w:rsidRDefault="00E948B6" w:rsidP="00A06BCF">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 xml:space="preserve">- на странице Эмитента в сети Интернет - не позднее 2 (Двух) дней, следующих за истечением срока для направления предложений (оферт) о заключении Предварительных договоров.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При этом публикация на странице Эмитента в сети Интернет осуществляется после публикации в ленте новостей. </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10) В случае размещения Биржевых облигаций в форме Конкурса информация о величине процентной ставки по первому купону Биржевых облигаций, установленной единоличным исполнительным органом Эмитента по итогам проведенного Конкурса, раскрывается Эмитентом не позднее даты начала размещения Биржевых облигаций в форме сообщения о существенном факте в следующие сроки с даты принятия такого решения единоличным исполнительным органом Эмитента: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в ленте новостей - не позднее 1 (Одного) дня;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на странице Эмитента в сети Интернет - не позднее 2 (Двух) дней.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При этом публикация на странице Эмитента в сети Интернет осуществляется после публикации в ленте новостей. </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11) В случае размещения Биржевых облигаций путем сбора адресных заявок со стороны покупателей на приобретение Биржевых облигаций по фиксированной цене и ставке первого купона, информация о величине процентной ставки по первому купону Биржевых облигаций, установленной единоличным исполнительным органом Эмитента, указывается Эмитентом в Условиях выпуска либо раскрывается в форме сообщения о существенном факте  не позднее даты начала размещения Биржевых облигаций и в следующие сроки с даты с даты принятия такого решения единоличным исполнительным органом Эмитента: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в ленте новостей - не позднее 1 (Одного) дня;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на странице Эмитента в сети Интернет - не позднее 2 (Двух) дней.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При этом публикация на странице Эмитента в сети Интернет осуществляется после публикации в ленте новостей. </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12) Сообщение о начале размещения Биржевых облигаций раскрывается Эмитентом в форме сообщения о существенном факте в следующие сроки с даты начала размещения Биржевых облигаций: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в ленте новостей - не позднее 1 (Одного) дня; </w:t>
      </w:r>
    </w:p>
    <w:p w:rsidR="00E948B6" w:rsidRPr="00E948B6" w:rsidRDefault="00E948B6" w:rsidP="00A06BCF">
      <w:pPr>
        <w:pStyle w:val="Default"/>
        <w:ind w:firstLine="567"/>
        <w:jc w:val="both"/>
        <w:rPr>
          <w:rFonts w:ascii="Arial" w:hAnsi="Arial" w:cs="Arial"/>
          <w:b/>
          <w:bCs/>
          <w:i/>
          <w:iCs/>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на странице Эмитента в сети Интернет - не позднее 2 (Двух) дней.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При этом публикация на странице Эмитента в сети Интернет осуществляется после публикации в ленте новостей.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В случае раскрытия Эмитентом сообщения о дате начала размещения (изменении даты начала размещения) ценных бумаг, раскрытие сообщения о существенном факте о начале размещения ценных бумаг не требуется. </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13) Сообщение о завершении размещения Биржевых облигаций раскрывается Эмитентом в форме сообщения о существенном факте в следующие сроки с последнего дня срока размещения, установленного Условиями выпуска, а в случае, когда все Биржевые облигации выпуска размещены до истечения этого срока, - с даты размещения последней Биржевой облигации этого выпуска: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в ленте новостей - не позднее 1 (Одного) дня;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на странице Эмитента в сети Интернет - не позднее 2 (Двух) дней.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При этом публикация на странице Эмитента в сети Интернет осуществляется после публикации в ленте новостей. </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14) Не позднее следующего дня после окончания срока размещения Биржевых облигаций, либо не позднее следующего дня после размещения последней Биржевой облигации в случае, если все Биржевые облигации размещены до истечения срока размещения, ЗАО «ФБ ММВБ» раскрывает информацию об итогах размещения Биржевых облигаций и уведомляет об этом Банк России в установленном им порядке. </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 xml:space="preserve">15) Порядок раскрытия информации о досрочном погашения Биржевых облигаций по требованию их владельца (владельцев): </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15.1) Эмитент раскрывает информацию о делистинге Биржевых облигаций путем опубликования сообщения о существенном факте  в следующие сроки с даты, в которую Эмитент узнал или должен был узнать, в том числе посредством получения соответствующего уведомления российского организатора торговли, об исключении Биржевых облигаций Эмитента из котировального списка российской биржи (из списка ценных бумаг, допущенных к организованным торгам российского организатора торговли):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в ленте новостей - не позднее 1 (Одного) дня;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на странице Эмитента в сети Интернет - не позднее 2 (Двух) дней.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При этом публикация на странице Эмитента в сети Интернет осуществляется после публикации в ленте новостей. </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15.2) При наступлении события, дающего право владельцам Биржевых облигаций требовать досрочного погашения Биржевых облигаций, информация о наличии у владельцев Биржевых облигаций такого права должна быть раскрыта Эмитентом в форме сообщения о существенном факте в следующие сроки с даты, в которую Эмитент узнал или должен был узнать о возникновении основания (наступлении события, совершении действия), повлекшего за собой возникновение у владельцев Биржевых облигаций указанного права: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в ленте новостей - не позднее 1 (Одного) дня; </w:t>
      </w:r>
    </w:p>
    <w:p w:rsidR="00E948B6" w:rsidRPr="00E948B6" w:rsidRDefault="00E948B6" w:rsidP="00A06BCF">
      <w:pPr>
        <w:pStyle w:val="Default"/>
        <w:ind w:firstLine="567"/>
        <w:jc w:val="both"/>
        <w:rPr>
          <w:rFonts w:ascii="Arial" w:hAnsi="Arial" w:cs="Arial"/>
          <w:b/>
          <w:bCs/>
          <w:i/>
          <w:iCs/>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на странице Эмитента в сети Интернет - не позднее 2 (Двух) дней.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При этом публикация на странице Эмитента в сети Интернет осуществляется после публикации в ленте новостей.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Указанное сообщение о досрочном погашении Биржевых облигаций должно содержать условия досрочного погашения (в том числе стоимость досрочного погашения, срок и порядок осуществления Эмитентом досрочного погашения Биржевых облигаций).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Также Эмитент обязан направить в НРД уведомление о делистинге Биржевых облигаций (в случае если Биржевые облигации Эмитента не включены в список ценных бумаг, допущенных к организованным торгам, других бирж), а также о том, что Эмитент принимает Требования (заявления) о досрочном погашении Биржевых облигаций, и о сроке исполнения указанных требований. </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15.3) Информация о наступлении события, прекращающего право владельцев Биржевых облигаций требовать досрочного погашения Биржевых облигаций, раскрывается Эмитентом в форме сообщения о существенном факте  в следующие сроки с даты, в которую Эмитент узнал или должен был узнать о возникновении основания (наступлении события, совершении действия), повлекшего за собой прекращение у владельцев Биржевых облигаций Эмитента указанного права: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в ленте новостей - не позднее 1 (Одного) дня;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на странице Эмитента в сети Интернет - не позднее 2 (Двух) дней.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При этом публикация на странице Эмитента в сети Интернет осуществляется после публикации в ленте новостей. </w:t>
      </w:r>
    </w:p>
    <w:p w:rsidR="00E948B6" w:rsidRPr="00E948B6" w:rsidRDefault="00E948B6" w:rsidP="00A06BCF">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 xml:space="preserve">Эмитент обязан проинформировать НРД и Биржу о наступлении события, прекращающего право владельцев Биржевых облигаций требовать досрочного погашения Биржевых облигаций, а также о дате или порядке определения даты, с которой у владельцев Биржевых облигаций прекращается право требовать досрочного погашения Биржевых облигаций. </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15.4) Информация об итогах досрочного погашения Биржевых облигаций (в том числе о количестве досрочно погашенных Биржевых облигаций) раскрывается Эмитентом в форме сообщения о существенном факте в следующие сроки с даты досрочного погашения Биржевых облигаций: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в ленте новостей - не позднее 1 (Одного) дня;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на странице Эмитента в сети Интернет - не позднее 2 (Двух) дней;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При этом публикация на странице Эмитента в сети Интернет осуществляется после публикации в ленте новостей</w:t>
      </w:r>
      <w:r w:rsidRPr="00E948B6">
        <w:rPr>
          <w:rFonts w:ascii="Arial" w:hAnsi="Arial" w:cs="Arial"/>
          <w:color w:val="auto"/>
          <w:sz w:val="20"/>
          <w:szCs w:val="20"/>
        </w:rPr>
        <w:t xml:space="preserve">. </w:t>
      </w:r>
    </w:p>
    <w:p w:rsidR="00E948B6" w:rsidRPr="00E948B6" w:rsidRDefault="00E948B6" w:rsidP="00A06BCF">
      <w:pPr>
        <w:pStyle w:val="Default"/>
        <w:ind w:firstLine="567"/>
        <w:jc w:val="both"/>
        <w:rPr>
          <w:rFonts w:ascii="Arial" w:hAnsi="Arial" w:cs="Arial"/>
          <w:color w:val="auto"/>
          <w:sz w:val="20"/>
          <w:szCs w:val="20"/>
        </w:rPr>
      </w:pPr>
    </w:p>
    <w:p w:rsidR="00E948B6" w:rsidRPr="00E948B6" w:rsidRDefault="00E948B6" w:rsidP="00A06BCF">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 xml:space="preserve">15.5) Информация об исчерпывающем перечне документов, необходимых для представления Эмитенту для применения положений налогового законодательства и международных договоров и соглашений об избежании двойного налогообложения доходов, полученных по Биржевым облигациям, а также о категориях лиц, в отношении которых предоставляются такие документы, раскрывается Эмитентом в форме сообщения о существенном факте не позднее дня раскрытия информации о возникновении у владельцев Биржевых облигаций права требовать от Эмитента досрочного погашения принадлежащих им Биржевых облигаций. При этом такая информация раскрывается в следующие сроки: </w:t>
      </w:r>
    </w:p>
    <w:p w:rsidR="00E948B6" w:rsidRPr="00E948B6" w:rsidRDefault="00E948B6" w:rsidP="00A06BCF">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 xml:space="preserve">- в ленте новостей - не позднее 1 (Одного) дня; </w:t>
      </w:r>
    </w:p>
    <w:p w:rsidR="00E948B6" w:rsidRPr="00E948B6" w:rsidRDefault="00E948B6" w:rsidP="00A06BCF">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 xml:space="preserve">- на странице Эмитента в сети Интернет - не позднее 2 (Двух) дней; </w:t>
      </w:r>
    </w:p>
    <w:p w:rsidR="00E948B6" w:rsidRPr="00E948B6" w:rsidRDefault="00E948B6" w:rsidP="00A06BCF">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При этом публикация на странице Эмитента в сети Интернет осуществляется после публикации в ленте новостей.</w:t>
      </w:r>
    </w:p>
    <w:p w:rsidR="00E948B6" w:rsidRPr="00E948B6" w:rsidRDefault="00E948B6" w:rsidP="00A06BCF">
      <w:pPr>
        <w:pStyle w:val="Default"/>
        <w:ind w:firstLine="567"/>
        <w:jc w:val="both"/>
        <w:rPr>
          <w:rFonts w:ascii="Arial" w:hAnsi="Arial" w:cs="Arial"/>
          <w:color w:val="auto"/>
          <w:sz w:val="20"/>
          <w:szCs w:val="20"/>
        </w:rPr>
      </w:pPr>
    </w:p>
    <w:p w:rsidR="00E948B6" w:rsidRPr="00E948B6" w:rsidRDefault="00E948B6" w:rsidP="00A06BCF">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16) Информация об исполнении обязательств Эмитента по выплате дохода по Биржевым облигациям раскрывается Эмитентом в форме сообщения о существенном факте в соответствии с нормативными актами в сфере финансовых рынков в следующие сроки с даты, в которую обязательство по выплате доходов по Биржевым облигациям Эмитента должно быть исполнено, а в случае, если такое обязательство должно быть исполнено Эмитентом в течение определенного срока (периода времени), - даты окончания этого срока:</w:t>
      </w:r>
    </w:p>
    <w:p w:rsidR="00E948B6" w:rsidRPr="00E948B6" w:rsidRDefault="00E948B6" w:rsidP="00A06BCF">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 в ленте новостей - не позднее 1 (Одного);</w:t>
      </w:r>
    </w:p>
    <w:p w:rsidR="00E948B6" w:rsidRPr="00E948B6" w:rsidRDefault="00E948B6" w:rsidP="00A06BCF">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 на странице Эмитента в сети Интернет - не позднее 2 (Двух) дней.</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При этом публикация на странице Эмитента в сети Интернет осуществляется после публикации в ленте новостей</w:t>
      </w:r>
      <w:r w:rsidRPr="00E948B6">
        <w:rPr>
          <w:rFonts w:ascii="Arial" w:hAnsi="Arial" w:cs="Arial"/>
          <w:color w:val="auto"/>
          <w:sz w:val="20"/>
          <w:szCs w:val="20"/>
        </w:rPr>
        <w:t xml:space="preserve">. </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17) Информация о погашении Биржевых облигаций раскрывается Эмитентом в форме сообщения о существенном факте в соответствии с нормативными актами в сфере финансовых рынков в следующие сроки с даты погашения Биржевых облигаций:</w:t>
      </w:r>
    </w:p>
    <w:p w:rsidR="00E948B6" w:rsidRPr="00E948B6" w:rsidRDefault="00E948B6" w:rsidP="00A06BCF">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 в ленте новостей - не позднее 1 (Одного) дня;</w:t>
      </w:r>
    </w:p>
    <w:p w:rsidR="00E948B6" w:rsidRPr="00E948B6" w:rsidRDefault="00E948B6" w:rsidP="00A06BCF">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 на странице Эмитента в сети Интернет - не позднее 2 (Двух).</w:t>
      </w:r>
    </w:p>
    <w:p w:rsidR="00E948B6" w:rsidRPr="00E948B6" w:rsidRDefault="00E948B6" w:rsidP="00A06BCF">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При этом публикация на странице в сети Интернет осуществляется после публикации в Ленте новостей.</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18) Порядок раскрытия информации о досрочном погашения Биржевых облигаций по усмотрению Эмитента: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А) Сообщение о принятии Эмитентом решения о возможности досрочного погашения Биржевых облигаций по усмотрению Эмитента раскрывается в форме сообщения о существенном факте в соответствии с нормативными актами в сфере финансовых рынков в следующем порядке: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в ленте новостей - не позднее 1 (Одного) дня с даты принятия решения о возможности досрочного погашения Биржевых облигаций и не позднее 1 (Одного) дня, предшествующего дате начала размещения Биржевых облигаций;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на странице Эмитента в сети Интернет - не позднее 2 (Двух) дней с даты принятия решения о возможности досрочного погашения Биржевых облигаций и не позднее 1 (Одного) дня, предшествующего дате начала размещения Биржевых облигаций. </w:t>
      </w:r>
    </w:p>
    <w:p w:rsidR="00E948B6" w:rsidRPr="00E948B6" w:rsidRDefault="00E948B6" w:rsidP="00A06BCF">
      <w:pPr>
        <w:pStyle w:val="Default"/>
        <w:ind w:firstLine="567"/>
        <w:jc w:val="both"/>
        <w:rPr>
          <w:rFonts w:ascii="Arial" w:hAnsi="Arial" w:cs="Arial"/>
          <w:color w:val="auto"/>
          <w:sz w:val="20"/>
          <w:szCs w:val="20"/>
        </w:rPr>
      </w:pP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О принятом решении о возможности досрочного погашения Эмитент уведомляет Биржу и НРД не позднее, чем за 1 (Один) день до даты начала размещения. </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Информация о принятии Эмитентом решения о досрочном погашении Биржевых облигаций публикуется Эмитентом в форме сообщения о существенном факте в соответствии с нормативными актами в сфере финансовых рынков в следующие сроки: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в ленте новостей - не позднее 1 (Одного) дня с даты принятия решения о досрочном погашении Биржевых облигаций и не позднее чем за 14 (Четырнадцать) дней до даты окончания купонного периода, определенного в решении Эмитента о возможности досрочного погашения Биржевых облигаций по усмотрению Эмитента;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на странице Эмитента в сети Интернет - не позднее 2 (Двух) дней с даты принятия решения о досрочном погашении Биржевых облигаций и не позднее чем за 14 (Четырнадцать) дней до даты окончания купонного периода, определенного в решении Эмитента о возможности досрочного погашения Биржевых облигаций по усмотрению Эмитента.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При этом публикация на странице Эмитента в сети Интернет осуществляется после публикации в ленте новостей. </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Данное сообщение среди прочих сведений должно включать в себя также стоимость досрочного погашения, срок и порядок осуществления Эмитентом досрочного погашения Биржевых облигаций.</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После досрочного погашения Эмитентом Биржевых облигаций Эмитент публикует информацию об итогах досрочного погашения Биржевых облигаций. Указанная информация (включая количество досрочно погашенных Биржевых облигаций) публикуется в форме сообщения о существенном факте в соответствии с нормативными актами в сфере финансовых рынков в следующие сроки с даты досрочного погашения Биржевых облигаций: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в ленте новостей - не позднее 1 (Одного) дня;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на странице Эмитента в сети Интернет - не позднее 2 (Двух) дней.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При этом публикация на странице в Сети Интернет осуществляется после публикации в Ленте новостей. </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Б) Сообщение о принятии Эмитентом решения о частичном досрочном погашении Биржевых облигаций в дату окончания очередного(ых) купонного(ых) периода(ов) публикуется Эмитентом не позднее 1 (Одного) дня до даты начала размещения Биржевых облигаций в форме сообщения о существенном факте в соответствии с нормативными актами в сфере финансовых рынков и в следующие сроки с даты принятия решения о частичном досрочном погашении Биржевых облигаций в дату окончания очередного(ых) купонного(ых) периода(ов):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в ленте новостей - не позднее 1 (Одного) дня;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на странице Эмитента в сети Интернет - не позднее 2 (Двух). </w:t>
      </w:r>
    </w:p>
    <w:p w:rsidR="00E948B6" w:rsidRPr="00E948B6" w:rsidRDefault="00E948B6" w:rsidP="00A06BCF">
      <w:pPr>
        <w:pStyle w:val="Default"/>
        <w:ind w:firstLine="567"/>
        <w:rPr>
          <w:rFonts w:ascii="Arial" w:hAnsi="Arial" w:cs="Arial"/>
          <w:color w:val="auto"/>
          <w:sz w:val="20"/>
          <w:szCs w:val="20"/>
        </w:rPr>
      </w:pP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Данное сообщение среди прочих сведений должно включать номер(а) купонного(ых) периода(ов), в дату окончания которого(ых) Эмитент осуществляет досрочное погашение определенной части номинальной стоимости Биржевых облигаций, а также процент от номинальной стоимости, подлежащий погашению в дату окончания указанного(ых) купонного(ых) периода(ов).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Эмитент информирует Биржу и НРД о принятых решениях о дате(ах) частичного досрочного погашения Биржевых облигаций и проценте от номинальной стоимости Биржевых облигаций, подлежащем погашению, не позднее 1 (Одного) дня до даты начала размещения Биржевых облигаций. </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Информация об итогах частичного досрочного погашения Биржевых облигаций по усмотрению Эмитента раскрывается Эмитентом в форме сообщения о существенном факте в соответствии с нормативными актами в сфере финансовых рынков в следующие сроки с даты, в которую обязательство по выплате части номинальной стоимости по  Биржевым облигациям Эмитента должно быть исполнено, а в случае, если такое обязательство должно быть исполнено Эмитентом в течение определенного срока (периода времени), - даты окончания этого срока: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в ленте новостей - не позднее 1 (Одного) дня;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на странице Эмитента в сети Интернет - не позднее 2 (Двух) дней. </w:t>
      </w:r>
    </w:p>
    <w:p w:rsidR="00E948B6" w:rsidRPr="00E948B6" w:rsidRDefault="00E948B6" w:rsidP="00A06BCF">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 xml:space="preserve">При этом публикация на странице в Сети Интернет осуществляется после публикации в Ленте новостей. </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Указанное сообщение должно содержать следующую информацию: дата частичного досрочного погашения Биржевых облигаций; процент от номинальной стоимости, который был погашен; сумма частичного досрочного погашения в расчете на одну Биржевую облигацию; сумма частичного досрочного погашения в расчете на все Биржевые облигации. </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В) Информация о принятии Эмитентом решения о досрочном погашении Биржевых облигаций публикуется Эмитентом в форме сообщения о существенном факте в соответствии с нормативными актами в сфере финансовых рынков в следующем порядке: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в ленте новостей - не позднее 1 (Одного) дня с даты принятия решения о досрочном погашении Биржевых облигаций и не позднее чем за 14 (Четырнадцать) дней до даты окончания купонного периода, в дату окончания которого планируется досрочное погашение Биржевых облигаций;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на странице Эмитента в сети Интернет - не позднее 2 (Двух) дней с даты принятия решения о досрочном погашении Биржевых облигаций и не позднее чем за 14 (Четырнадцать) дней до даты окончания купонного периода, в дату окончания которого планируется досрочное погашение Биржевых облигаций. </w:t>
      </w:r>
    </w:p>
    <w:p w:rsidR="00E948B6" w:rsidRPr="00E948B6" w:rsidRDefault="00E948B6" w:rsidP="00A06BCF">
      <w:pPr>
        <w:pStyle w:val="Default"/>
        <w:ind w:firstLine="567"/>
        <w:jc w:val="both"/>
        <w:rPr>
          <w:rFonts w:ascii="Arial" w:hAnsi="Arial" w:cs="Arial"/>
          <w:color w:val="auto"/>
          <w:sz w:val="20"/>
          <w:szCs w:val="20"/>
        </w:rPr>
      </w:pP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Данное сообщение среди прочих сведений должно включать в себя также стоимость досрочного погашения, срок и порядок осуществления Эмитентом досрочного погашения Биржевых облигаций. </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После досрочного погашения Эмитентом Биржевых облигаций Эмитент публикует информацию об итогах досрочного погашения эмиссионных ценных бумаг Эмитента. Указанная информация (включая количество досрочно погашенных Биржевых облигаций) публикуется в форме сообщения о существенном факте в соответствии с нормативными актами в сфере финансовых рынков в следующие сроки с даты досрочного погашения Биржевых облигаций: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в ленте новостей - не позднее 1 (Одного) дня;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на странице Эмитента в сети Интернет - не позднее 2 (Двух) дней.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При этом публикация на странице в Сети Интернет осуществляется после публикации в Ленте новостей. </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19.1) Эмитент раскрывает информацию о неисполнении или ненадлежащем исполнении Эмитентом обязательств по Биржевым облигациям (в том числе дефолт или технический дефолт) в форме сообщения(ий) о существенном(ых) факте(ах) в следующие сроки:</w:t>
      </w:r>
    </w:p>
    <w:p w:rsidR="00E948B6" w:rsidRPr="00E948B6" w:rsidRDefault="00E948B6" w:rsidP="00A06BCF">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1) c даты, в которую обязательство Эмитента должно быть исполнено, а в случае, если такое обязательство должно быть исполнено Эмитентом в течение определенного срока (периода времени), даты окончания этого срока:</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в ленте новостей - не позднее 1 (Одного) дня;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на странице Эмитента в сети Интернет - не позднее 2 (Двух) дней.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При этом публикация на странице Эмитента в сети Интернет осуществляется после публикации в ленте новостей;</w:t>
      </w:r>
    </w:p>
    <w:p w:rsidR="00E948B6" w:rsidRPr="00E948B6" w:rsidRDefault="00E948B6" w:rsidP="00A06BCF">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2) на десятый рабочий день с даты, в которую обязательство Эмитента должно быть исполнено, а в случае, если такое обязательство должно быть исполнено Эмитентом в течение определенного срока (периода времени) - с даты окончания этого срока:</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в ленте новостей - не позднее 1 (Одного) дня;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на странице Эмитента в сети Интернет - не позднее 2 (Двух) дней.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При этом публикация на странице Эмитента в сети Интернет осуществляется после публикации в ленте новостей.</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Данное сообщение должно включать в себя: </w:t>
      </w:r>
    </w:p>
    <w:p w:rsidR="00E948B6" w:rsidRPr="00E948B6" w:rsidRDefault="00E948B6" w:rsidP="00E948B6">
      <w:pPr>
        <w:pStyle w:val="Default"/>
        <w:jc w:val="both"/>
        <w:rPr>
          <w:rFonts w:ascii="Arial" w:hAnsi="Arial" w:cs="Arial"/>
          <w:color w:val="auto"/>
          <w:sz w:val="20"/>
          <w:szCs w:val="20"/>
        </w:rPr>
      </w:pPr>
      <w:r w:rsidRPr="00E948B6">
        <w:rPr>
          <w:rFonts w:ascii="Arial" w:hAnsi="Arial" w:cs="Arial"/>
          <w:b/>
          <w:bCs/>
          <w:i/>
          <w:iCs/>
          <w:color w:val="auto"/>
          <w:sz w:val="20"/>
          <w:szCs w:val="20"/>
        </w:rPr>
        <w:t xml:space="preserve">- объем неисполненных обязательств; </w:t>
      </w:r>
    </w:p>
    <w:p w:rsidR="00E948B6" w:rsidRPr="00E948B6" w:rsidRDefault="00E948B6" w:rsidP="00E948B6">
      <w:pPr>
        <w:pStyle w:val="Default"/>
        <w:jc w:val="both"/>
        <w:rPr>
          <w:rFonts w:ascii="Arial" w:hAnsi="Arial" w:cs="Arial"/>
          <w:color w:val="auto"/>
          <w:sz w:val="20"/>
          <w:szCs w:val="20"/>
        </w:rPr>
      </w:pPr>
      <w:r w:rsidRPr="00E948B6">
        <w:rPr>
          <w:rFonts w:ascii="Arial" w:hAnsi="Arial" w:cs="Arial"/>
          <w:b/>
          <w:bCs/>
          <w:i/>
          <w:iCs/>
          <w:color w:val="auto"/>
          <w:sz w:val="20"/>
          <w:szCs w:val="20"/>
        </w:rPr>
        <w:t xml:space="preserve">- причину неисполнения обязательств; </w:t>
      </w:r>
    </w:p>
    <w:p w:rsidR="00E948B6" w:rsidRPr="00E948B6" w:rsidRDefault="00E948B6" w:rsidP="00E948B6">
      <w:pPr>
        <w:pStyle w:val="Default"/>
        <w:jc w:val="both"/>
        <w:rPr>
          <w:rFonts w:ascii="Arial" w:hAnsi="Arial" w:cs="Arial"/>
          <w:color w:val="auto"/>
          <w:sz w:val="20"/>
          <w:szCs w:val="20"/>
        </w:rPr>
      </w:pPr>
      <w:r w:rsidRPr="00E948B6">
        <w:rPr>
          <w:rFonts w:ascii="Arial" w:hAnsi="Arial" w:cs="Arial"/>
          <w:b/>
          <w:bCs/>
          <w:i/>
          <w:iCs/>
          <w:color w:val="auto"/>
          <w:sz w:val="20"/>
          <w:szCs w:val="20"/>
        </w:rPr>
        <w:t xml:space="preserve">- перечисление возможных действий владельцев Биржевых облигаций по удовлетворению своих требований. </w:t>
      </w:r>
    </w:p>
    <w:p w:rsidR="00E948B6" w:rsidRPr="00E948B6" w:rsidRDefault="00E948B6" w:rsidP="00A06BCF">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 xml:space="preserve">Эмитент информирует Биржу и НРД о неисполнении или ненадлежащем исполнении Эмитентом обязательств по Биржевым облигациям (в том числе дефолт или технический дефолт) в течение 3 (Трех) дней с даты, в которую обязательство Эмитента перед владельцами Биржевых облигаций должно быть исполнено. </w:t>
      </w:r>
    </w:p>
    <w:p w:rsidR="00E948B6" w:rsidRPr="00E948B6" w:rsidRDefault="00E948B6" w:rsidP="00A06BCF">
      <w:pPr>
        <w:pStyle w:val="Default"/>
        <w:ind w:firstLine="567"/>
        <w:jc w:val="both"/>
        <w:rPr>
          <w:rFonts w:ascii="Arial" w:hAnsi="Arial" w:cs="Arial"/>
          <w:b/>
          <w:i/>
          <w:color w:val="auto"/>
          <w:sz w:val="20"/>
          <w:szCs w:val="20"/>
        </w:rPr>
      </w:pPr>
    </w:p>
    <w:p w:rsidR="00E948B6" w:rsidRPr="00E948B6" w:rsidRDefault="00E948B6" w:rsidP="00A06BCF">
      <w:pPr>
        <w:pStyle w:val="Default"/>
        <w:ind w:firstLine="567"/>
        <w:jc w:val="both"/>
        <w:rPr>
          <w:rFonts w:ascii="Arial" w:hAnsi="Arial" w:cs="Arial"/>
          <w:b/>
          <w:i/>
          <w:color w:val="auto"/>
          <w:sz w:val="20"/>
          <w:szCs w:val="20"/>
        </w:rPr>
      </w:pPr>
      <w:r w:rsidRPr="00E948B6">
        <w:rPr>
          <w:rFonts w:ascii="Arial" w:hAnsi="Arial" w:cs="Arial"/>
          <w:b/>
          <w:i/>
          <w:color w:val="auto"/>
          <w:sz w:val="20"/>
          <w:szCs w:val="20"/>
        </w:rPr>
        <w:t>19.2) Информация об исчерпывающем перечне документов, необходимых для представления Эмитенту для применения положений налогового законодательства и международных договоров и соглашений об избежании двойного налогообложения доходов, полученных по Биржевым облигациям, а также о категориях лиц, в отношении которых предоставляются такие документы,</w:t>
      </w:r>
      <w:r w:rsidRPr="00E948B6">
        <w:rPr>
          <w:rFonts w:ascii="Arial" w:hAnsi="Arial" w:cs="Arial"/>
          <w:b/>
          <w:bCs/>
          <w:i/>
          <w:iCs/>
          <w:sz w:val="20"/>
          <w:szCs w:val="20"/>
        </w:rPr>
        <w:t xml:space="preserve"> </w:t>
      </w:r>
      <w:r w:rsidRPr="00E948B6">
        <w:rPr>
          <w:rFonts w:ascii="Arial" w:hAnsi="Arial" w:cs="Arial"/>
          <w:b/>
          <w:i/>
          <w:color w:val="auto"/>
          <w:sz w:val="20"/>
          <w:szCs w:val="20"/>
        </w:rPr>
        <w:t xml:space="preserve">раскрывается Эмитентом в форме сообщения о существенном факте не позднее дня раскрытия информации о неисполнении или ненадлежащем исполнении Эмитентом обязательств по Биржевым облигациям (в том числе дефолт или технический дефолт). При этом такая информация раскрывается в следующие сроки: </w:t>
      </w:r>
    </w:p>
    <w:p w:rsidR="00E948B6" w:rsidRPr="00E948B6" w:rsidRDefault="00E948B6" w:rsidP="00A06BCF">
      <w:pPr>
        <w:pStyle w:val="Default"/>
        <w:ind w:firstLine="567"/>
        <w:jc w:val="both"/>
        <w:rPr>
          <w:rFonts w:ascii="Arial" w:hAnsi="Arial" w:cs="Arial"/>
          <w:b/>
          <w:i/>
          <w:color w:val="auto"/>
          <w:sz w:val="20"/>
          <w:szCs w:val="20"/>
        </w:rPr>
      </w:pPr>
      <w:r w:rsidRPr="00E948B6">
        <w:rPr>
          <w:rFonts w:ascii="Arial" w:hAnsi="Arial" w:cs="Arial"/>
          <w:b/>
          <w:i/>
          <w:color w:val="auto"/>
          <w:sz w:val="20"/>
          <w:szCs w:val="20"/>
        </w:rPr>
        <w:t xml:space="preserve">- в ленте новостей - не позднее 1 (Одного) дня; </w:t>
      </w:r>
    </w:p>
    <w:p w:rsidR="00E948B6" w:rsidRPr="00E948B6" w:rsidRDefault="00E948B6" w:rsidP="00A06BCF">
      <w:pPr>
        <w:pStyle w:val="Default"/>
        <w:ind w:firstLine="567"/>
        <w:jc w:val="both"/>
        <w:rPr>
          <w:rFonts w:ascii="Arial" w:hAnsi="Arial" w:cs="Arial"/>
          <w:b/>
          <w:i/>
          <w:color w:val="auto"/>
          <w:sz w:val="20"/>
          <w:szCs w:val="20"/>
        </w:rPr>
      </w:pPr>
      <w:r w:rsidRPr="00E948B6">
        <w:rPr>
          <w:rFonts w:ascii="Arial" w:hAnsi="Arial" w:cs="Arial"/>
          <w:b/>
          <w:i/>
          <w:color w:val="auto"/>
          <w:sz w:val="20"/>
          <w:szCs w:val="20"/>
        </w:rPr>
        <w:t xml:space="preserve">- на странице Эмитента в сети Интернет - не позднее 2 (Двух) дней; </w:t>
      </w:r>
    </w:p>
    <w:p w:rsidR="00E948B6" w:rsidRPr="00E948B6" w:rsidRDefault="00E948B6" w:rsidP="00A06BCF">
      <w:pPr>
        <w:pStyle w:val="Default"/>
        <w:ind w:firstLine="567"/>
        <w:jc w:val="both"/>
        <w:rPr>
          <w:rFonts w:ascii="Arial" w:hAnsi="Arial" w:cs="Arial"/>
          <w:b/>
          <w:i/>
          <w:color w:val="auto"/>
          <w:sz w:val="20"/>
          <w:szCs w:val="20"/>
        </w:rPr>
      </w:pPr>
      <w:r w:rsidRPr="00E948B6">
        <w:rPr>
          <w:rFonts w:ascii="Arial" w:hAnsi="Arial" w:cs="Arial"/>
          <w:b/>
          <w:i/>
          <w:color w:val="auto"/>
          <w:sz w:val="20"/>
          <w:szCs w:val="20"/>
        </w:rPr>
        <w:t>При этом публикация на странице Эмитента в сети Интернет осуществляется после публикации в ленте новостей.</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20) Сообщение Эмитента о привлечении или замене организаций, оказывающих Эмитенту услуги посредника при исполнении Эмитентом обязательств по Биржевым облигациям, в том числе: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 о назначении Эмитентом агентов по приобретению Биржевых облигаций и отмене таких назначений, а также об изменении сведений об указанных организациях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 о назначении Эмитентом платёжных агентов и отмене таких назначений, а также об изменении сведений об указанных организациях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публикуется Эмитентом в форме сообщения о существенном факте в следующие сроки с даты заключения соответствующего договора с соответствующей организацией, а если такой договор вступает в силу не с даты его заключения, – с даты вступления его в силу; в случае изменения сведений об организации – с даты, в которую Эмитент узнал или должен был узнать об изменении соответствующих сведений; в случае прекращения оказания услуг организацией – с даты расторжения или прекращения по иным основаниям соответствующего договора с организацией: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в ленте новостей - не позднее 1 (Одного) дня;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на странице Эмитента в сети Интернет - не позднее 2 (Двух) дней. </w:t>
      </w: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При этом публикация на странице Эмитента в сети Интернет осуществляется после публикации в ленте новостей. </w:t>
      </w:r>
    </w:p>
    <w:p w:rsidR="00E948B6" w:rsidRPr="00E948B6" w:rsidRDefault="00E948B6" w:rsidP="00A06BCF">
      <w:pPr>
        <w:pStyle w:val="Default"/>
        <w:ind w:firstLine="567"/>
        <w:jc w:val="both"/>
        <w:rPr>
          <w:rFonts w:ascii="Arial" w:hAnsi="Arial" w:cs="Arial"/>
          <w:b/>
          <w:bCs/>
          <w:i/>
          <w:iCs/>
          <w:color w:val="auto"/>
          <w:sz w:val="20"/>
          <w:szCs w:val="20"/>
        </w:rPr>
      </w:pPr>
    </w:p>
    <w:p w:rsidR="00E948B6" w:rsidRPr="00E948B6" w:rsidRDefault="00E948B6" w:rsidP="00A06BCF">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Указанная информация должна содержать в себе: </w:t>
      </w:r>
    </w:p>
    <w:p w:rsidR="00E948B6" w:rsidRPr="00E948B6" w:rsidRDefault="00E948B6" w:rsidP="00E948B6">
      <w:pPr>
        <w:pStyle w:val="Default"/>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содержание обязательства Эмитента, для исполнения которого Эмитентом привлечена организация, оказывающая услуги посредника по Биржевым облигациям; </w:t>
      </w:r>
    </w:p>
    <w:p w:rsidR="00E948B6" w:rsidRPr="00E948B6" w:rsidRDefault="00E948B6" w:rsidP="00E948B6">
      <w:pPr>
        <w:pStyle w:val="Default"/>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полное и сокращенное фирменное наименование, ИНН (если применимо), ОГРН (если применимо), организации, оказывающей Эмитенту услуги посредника при исполнении Эмитентом обязательств по Биржевым облигациям; </w:t>
      </w:r>
    </w:p>
    <w:p w:rsidR="00E948B6" w:rsidRPr="00E948B6" w:rsidRDefault="00E948B6" w:rsidP="00E948B6">
      <w:pPr>
        <w:pStyle w:val="Default"/>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адрес местонахождения, а также адрес и номер факса; </w:t>
      </w:r>
    </w:p>
    <w:p w:rsidR="00E948B6" w:rsidRPr="00E948B6" w:rsidRDefault="00E948B6" w:rsidP="00E948B6">
      <w:pPr>
        <w:pStyle w:val="Default"/>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сведения о лицензии на осуществление профессиональной деятельности на рынке ценных бумаг: номер, дата выдачи, срок действия, орган, выдавший лицензию; </w:t>
      </w:r>
    </w:p>
    <w:p w:rsidR="00E948B6" w:rsidRPr="00E948B6" w:rsidRDefault="00E948B6" w:rsidP="00E948B6">
      <w:pPr>
        <w:pStyle w:val="Default"/>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краткое описание услуг посредника, оказываемых привлеченной Эмитентом организацией; </w:t>
      </w:r>
    </w:p>
    <w:p w:rsidR="00E948B6" w:rsidRPr="00E948B6" w:rsidRDefault="00E948B6" w:rsidP="00E948B6">
      <w:pPr>
        <w:pStyle w:val="Default"/>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размер (порядок определения размера) вознаграждения организации, привлекаемой Эмитентом для оказания эмитенту услуг посредника при исполнении им обязательств по Биржевым облигациям; </w:t>
      </w:r>
    </w:p>
    <w:p w:rsidR="00E948B6" w:rsidRPr="00E948B6" w:rsidRDefault="00E948B6" w:rsidP="00E948B6">
      <w:pPr>
        <w:pStyle w:val="Default"/>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дата заключения договора.</w:t>
      </w:r>
    </w:p>
    <w:p w:rsidR="00E948B6" w:rsidRPr="00E948B6" w:rsidRDefault="00E948B6" w:rsidP="002B1236">
      <w:pPr>
        <w:pStyle w:val="Default"/>
        <w:ind w:firstLine="567"/>
        <w:rPr>
          <w:rFonts w:ascii="Arial" w:hAnsi="Arial" w:cs="Arial"/>
          <w:color w:val="auto"/>
          <w:sz w:val="20"/>
          <w:szCs w:val="20"/>
        </w:rPr>
      </w:pP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Сообщение о назначении Эмитентом Агента по приобретению Биржевых облигаций и отмене таких назначений раскрывается Эмитентом не позднее, чем за 7 (Семь) рабочих дней до начала срока принятия предложения о приобретении Биржевых облигаций или до начала срока, в течение которого владельцами Биржевых облигаций могут быть заявлены требования о приобретении принадлежащих им Биржевых облигаций, в зависимости от того, приобретение Биржевых облигаций осуществляется по соглашению с их владельцами или по требованию владельцев Биржевых облигаций. </w:t>
      </w:r>
    </w:p>
    <w:p w:rsidR="00E948B6" w:rsidRPr="00E948B6" w:rsidRDefault="00E948B6" w:rsidP="002B1236">
      <w:pPr>
        <w:pStyle w:val="Default"/>
        <w:ind w:firstLine="567"/>
        <w:jc w:val="both"/>
        <w:rPr>
          <w:rFonts w:ascii="Arial" w:hAnsi="Arial" w:cs="Arial"/>
          <w:b/>
          <w:bCs/>
          <w:i/>
          <w:iCs/>
          <w:color w:val="auto"/>
          <w:sz w:val="20"/>
          <w:szCs w:val="20"/>
        </w:rPr>
      </w:pP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21) До даты начала размещения Биржевых облигаций Эмитент может принять решение о процентных ставках или порядке определения размера ставок купонов в виде формулы с переменными, значения которых не могут изменяться в зависимости от усмотрения Эмитента, по любому количеству последовательно следующих друг за другом купонных периодов, начиная со второго по n-ый купонный период (где n – количество купонных периодов, установленных Условиями выпуска). </w:t>
      </w: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Информация о ставках или порядке определения размера ставок купонов в виде формулы с переменными, значения которых не могут изменяться в зависимости от усмотрения Эмитента, по купонным периодам, начиная со второго, которые определяются до даты начала размещения Биржевых облигаций, а также порядковом номере купонного периода, в котором владельцы Биржевых облигаций могут требовать приобретения Биржевых облигаций Эмитентом, раскрывается Эмитентом в форме сообщения о существенных фактах не позднее, чем за 1 (Один) день до даты начала размещения Биржевых облигаций и в следующие сроки с даты принятия решения о ставках или порядке определения процентной(ых) ставки(ок) по купону(ам): </w:t>
      </w: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в ленте новостей - не позднее 1 (Одного) дня; </w:t>
      </w: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на странице Эмитента в сети Интернет - не позднее 2 (Двух) дней. </w:t>
      </w:r>
    </w:p>
    <w:p w:rsidR="00E948B6" w:rsidRPr="00E948B6" w:rsidRDefault="00E948B6" w:rsidP="002B1236">
      <w:pPr>
        <w:pStyle w:val="Default"/>
        <w:ind w:firstLine="567"/>
        <w:jc w:val="both"/>
        <w:rPr>
          <w:rFonts w:ascii="Arial" w:hAnsi="Arial" w:cs="Arial"/>
          <w:color w:val="auto"/>
          <w:sz w:val="20"/>
          <w:szCs w:val="20"/>
        </w:rPr>
      </w:pP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При этом публикация на странице Эмитента в сети Интернет осуществляется после публикации в ленте новостей. </w:t>
      </w:r>
    </w:p>
    <w:p w:rsidR="00E948B6" w:rsidRPr="00E948B6" w:rsidRDefault="00E948B6" w:rsidP="002B1236">
      <w:pPr>
        <w:pStyle w:val="Default"/>
        <w:ind w:firstLine="567"/>
        <w:rPr>
          <w:rFonts w:ascii="Arial" w:hAnsi="Arial" w:cs="Arial"/>
          <w:color w:val="auto"/>
          <w:sz w:val="20"/>
          <w:szCs w:val="20"/>
        </w:rPr>
      </w:pPr>
      <w:r w:rsidRPr="00E948B6">
        <w:rPr>
          <w:rFonts w:ascii="Arial" w:hAnsi="Arial" w:cs="Arial"/>
          <w:b/>
          <w:bCs/>
          <w:i/>
          <w:iCs/>
          <w:color w:val="auto"/>
          <w:sz w:val="20"/>
          <w:szCs w:val="20"/>
        </w:rPr>
        <w:t xml:space="preserve">Эмитент информирует Биржу о принятых решениях, в том числе об определенных ставках, либо порядке определения ставок в согласованном порядке. </w:t>
      </w:r>
    </w:p>
    <w:p w:rsidR="00E948B6" w:rsidRPr="00E948B6" w:rsidRDefault="00E948B6" w:rsidP="002B1236">
      <w:pPr>
        <w:pStyle w:val="Default"/>
        <w:ind w:firstLine="567"/>
        <w:jc w:val="both"/>
        <w:rPr>
          <w:rFonts w:ascii="Arial" w:hAnsi="Arial" w:cs="Arial"/>
          <w:b/>
          <w:bCs/>
          <w:i/>
          <w:iCs/>
          <w:color w:val="auto"/>
          <w:sz w:val="20"/>
          <w:szCs w:val="20"/>
        </w:rPr>
      </w:pP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22) Информация о ставках или порядке определения размера ставок купонов в виде формулы с переменными, значения которых не могут изменяться в зависимости от усмотрения Эмитента, по купонным периодам, начиная со второго, которые определяются Эмитентом после завершения размещения и раскрытия ФБ ММВБ информации об итогах размещения Биржевых облигаций и уведомления об этом Банка России в установленном порядке, а также порядковом номере купонного периода, в котором владельцы Биржевых облигаций могут требовать приобретения Биржевых облигаций Эмитентом, раскрывается Эмитентом в форме сообщения о существенных фактах не позднее, чем за 7 (Семь) рабочих дней до даты начала i-го купонного периода по Биржевым облигациям и в следующие сроки с Даты установления i-го купона: </w:t>
      </w: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в ленте новостей - не позднее 1 (Одного) дня; </w:t>
      </w:r>
    </w:p>
    <w:p w:rsidR="00E948B6" w:rsidRPr="00E948B6" w:rsidRDefault="00E948B6" w:rsidP="002B1236">
      <w:pPr>
        <w:pStyle w:val="Default"/>
        <w:ind w:firstLine="567"/>
        <w:jc w:val="both"/>
        <w:rPr>
          <w:rFonts w:ascii="Arial" w:hAnsi="Arial" w:cs="Arial"/>
          <w:b/>
          <w:bCs/>
          <w:i/>
          <w:iCs/>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на странице Эмитента в сети Интернет - не позднее 2 (Двух) дней. </w:t>
      </w: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При этом публикация на странице Эмитента в сети Интернет осуществляется после публикации в ленте новостей. </w:t>
      </w: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Эмитент информирует Биржу об определенной ставке или порядке определения размера ставки купона не позднее, чем за 5 (Пять) рабочих дней до даты окончания (i-1)-го купонного периода (периода, в котором определяется процентная ставка по i-му и последующим купонам). </w:t>
      </w:r>
    </w:p>
    <w:p w:rsidR="00E948B6" w:rsidRPr="00E948B6" w:rsidRDefault="00E948B6" w:rsidP="002B1236">
      <w:pPr>
        <w:pStyle w:val="Default"/>
        <w:ind w:firstLine="567"/>
        <w:jc w:val="both"/>
        <w:rPr>
          <w:rFonts w:ascii="Arial" w:hAnsi="Arial" w:cs="Arial"/>
          <w:b/>
          <w:bCs/>
          <w:i/>
          <w:iCs/>
          <w:color w:val="auto"/>
          <w:sz w:val="20"/>
          <w:szCs w:val="20"/>
        </w:rPr>
      </w:pP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23) В случае принятия Эмитентом решения о приобретении Биржевых облигаций по соглашению с их владельцем (владельцами), в том числе на основании публичных безотзывных оферт, сообщение о соответствующем решении раскрывается в порядке, установленном для раскрытия сообщений о существенных фактах, не позднее, чем за 7 (Семь) рабочих дней до начала срока принятия предложения о приобретении Биржевых облигаций и в следующие сроки с даты составления протокола заседания уполномоченного органа Эмитента, на котором Эмитентом принято решение о приобретении Биржевых облигаций: </w:t>
      </w: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в ленте новостей - не позднее 1 (Одного) дня; </w:t>
      </w: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на странице Эмитента в сети Интернет - не позднее 2 (Двух) дней. </w:t>
      </w: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При этом публикация на странице Эмитента в сети Интернет осуществляется после публикации в ленте новостей. </w:t>
      </w:r>
    </w:p>
    <w:p w:rsidR="00E948B6" w:rsidRPr="00E948B6" w:rsidRDefault="00E948B6" w:rsidP="002B1236">
      <w:pPr>
        <w:pStyle w:val="Default"/>
        <w:ind w:firstLine="567"/>
        <w:jc w:val="both"/>
        <w:rPr>
          <w:rFonts w:ascii="Arial" w:hAnsi="Arial" w:cs="Arial"/>
          <w:b/>
          <w:bCs/>
          <w:i/>
          <w:iCs/>
          <w:color w:val="auto"/>
          <w:sz w:val="20"/>
          <w:szCs w:val="20"/>
        </w:rPr>
      </w:pPr>
    </w:p>
    <w:p w:rsidR="00E948B6" w:rsidRPr="00E948B6" w:rsidRDefault="00E948B6" w:rsidP="002B1236">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 xml:space="preserve">Данное сообщение включает в себя следующую информацию: </w:t>
      </w:r>
    </w:p>
    <w:p w:rsidR="00E948B6" w:rsidRPr="00E948B6" w:rsidRDefault="00E948B6" w:rsidP="00E948B6">
      <w:pPr>
        <w:pStyle w:val="Default"/>
        <w:jc w:val="both"/>
        <w:rPr>
          <w:rFonts w:ascii="Arial" w:hAnsi="Arial" w:cs="Arial"/>
          <w:color w:val="auto"/>
          <w:sz w:val="20"/>
          <w:szCs w:val="20"/>
        </w:rPr>
      </w:pPr>
      <w:r w:rsidRPr="00E948B6">
        <w:rPr>
          <w:rFonts w:ascii="Arial" w:hAnsi="Arial" w:cs="Arial"/>
          <w:b/>
          <w:bCs/>
          <w:i/>
          <w:iCs/>
          <w:color w:val="auto"/>
          <w:sz w:val="20"/>
          <w:szCs w:val="20"/>
        </w:rPr>
        <w:t xml:space="preserve">- дату принятия решения о приобретении Биржевых облигаций выпуска; </w:t>
      </w:r>
    </w:p>
    <w:p w:rsidR="00E948B6" w:rsidRPr="00E948B6" w:rsidRDefault="00E948B6" w:rsidP="00E948B6">
      <w:pPr>
        <w:pStyle w:val="Default"/>
        <w:jc w:val="both"/>
        <w:rPr>
          <w:rFonts w:ascii="Arial" w:hAnsi="Arial" w:cs="Arial"/>
          <w:color w:val="auto"/>
          <w:sz w:val="20"/>
          <w:szCs w:val="20"/>
        </w:rPr>
      </w:pPr>
      <w:r w:rsidRPr="00E948B6">
        <w:rPr>
          <w:rFonts w:ascii="Arial" w:hAnsi="Arial" w:cs="Arial"/>
          <w:b/>
          <w:bCs/>
          <w:i/>
          <w:iCs/>
          <w:color w:val="auto"/>
          <w:sz w:val="20"/>
          <w:szCs w:val="20"/>
        </w:rPr>
        <w:t xml:space="preserve">- серию и форму Биржевых облигаций, идентификационный номер и дату допуска Биржевых облигаций к торгам на бирже в процессе размещения; </w:t>
      </w:r>
    </w:p>
    <w:p w:rsidR="00E948B6" w:rsidRPr="00E948B6" w:rsidRDefault="00E948B6" w:rsidP="00E948B6">
      <w:pPr>
        <w:pStyle w:val="Default"/>
        <w:jc w:val="both"/>
        <w:rPr>
          <w:rFonts w:ascii="Arial" w:hAnsi="Arial" w:cs="Arial"/>
          <w:color w:val="auto"/>
          <w:sz w:val="20"/>
          <w:szCs w:val="20"/>
        </w:rPr>
      </w:pPr>
      <w:r w:rsidRPr="00E948B6">
        <w:rPr>
          <w:rFonts w:ascii="Arial" w:hAnsi="Arial" w:cs="Arial"/>
          <w:b/>
          <w:bCs/>
          <w:i/>
          <w:iCs/>
          <w:color w:val="auto"/>
          <w:sz w:val="20"/>
          <w:szCs w:val="20"/>
        </w:rPr>
        <w:t xml:space="preserve">- количество приобретаемых Биржевых облигаций; </w:t>
      </w:r>
    </w:p>
    <w:p w:rsidR="00E948B6" w:rsidRPr="00E948B6" w:rsidRDefault="00E948B6" w:rsidP="00E948B6">
      <w:pPr>
        <w:pStyle w:val="Default"/>
        <w:jc w:val="both"/>
        <w:rPr>
          <w:rFonts w:ascii="Arial" w:hAnsi="Arial" w:cs="Arial"/>
          <w:color w:val="auto"/>
          <w:sz w:val="20"/>
          <w:szCs w:val="20"/>
        </w:rPr>
      </w:pPr>
      <w:r w:rsidRPr="00E948B6">
        <w:rPr>
          <w:rFonts w:ascii="Arial" w:hAnsi="Arial" w:cs="Arial"/>
          <w:b/>
          <w:bCs/>
          <w:i/>
          <w:iCs/>
          <w:color w:val="auto"/>
          <w:sz w:val="20"/>
          <w:szCs w:val="20"/>
        </w:rPr>
        <w:t xml:space="preserve">- срок, в течение которого держатель Биржевых облигаций может передать Агенту Эмитента письменное уведомление о намерении продать Эмитенту определенное количество Биржевых облигаций на установленных в решении Эмитента о приобретении Биржевых облигаций и изложенных в опубликованном сообщении о приобретении Биржевых облигаций условиях. Данный срок не может составлять менее 5 (Пяти) рабочих дней. </w:t>
      </w:r>
    </w:p>
    <w:p w:rsidR="00E948B6" w:rsidRPr="00E948B6" w:rsidRDefault="00E948B6" w:rsidP="00E948B6">
      <w:pPr>
        <w:pStyle w:val="Default"/>
        <w:jc w:val="both"/>
        <w:rPr>
          <w:rFonts w:ascii="Arial" w:hAnsi="Arial" w:cs="Arial"/>
          <w:color w:val="auto"/>
          <w:sz w:val="20"/>
          <w:szCs w:val="20"/>
        </w:rPr>
      </w:pPr>
      <w:r w:rsidRPr="00E948B6">
        <w:rPr>
          <w:rFonts w:ascii="Arial" w:hAnsi="Arial" w:cs="Arial"/>
          <w:b/>
          <w:bCs/>
          <w:i/>
          <w:iCs/>
          <w:color w:val="auto"/>
          <w:sz w:val="20"/>
          <w:szCs w:val="20"/>
        </w:rPr>
        <w:t xml:space="preserve">- дату начала приобретения Эмитентом Биржевых облигаций выпуска; </w:t>
      </w:r>
    </w:p>
    <w:p w:rsidR="00E948B6" w:rsidRPr="00E948B6" w:rsidRDefault="00E948B6" w:rsidP="00E948B6">
      <w:pPr>
        <w:pStyle w:val="Default"/>
        <w:jc w:val="both"/>
        <w:rPr>
          <w:rFonts w:ascii="Arial" w:hAnsi="Arial" w:cs="Arial"/>
          <w:color w:val="auto"/>
          <w:sz w:val="20"/>
          <w:szCs w:val="20"/>
        </w:rPr>
      </w:pPr>
      <w:r w:rsidRPr="00E948B6">
        <w:rPr>
          <w:rFonts w:ascii="Arial" w:hAnsi="Arial" w:cs="Arial"/>
          <w:b/>
          <w:bCs/>
          <w:i/>
          <w:iCs/>
          <w:color w:val="auto"/>
          <w:sz w:val="20"/>
          <w:szCs w:val="20"/>
        </w:rPr>
        <w:t xml:space="preserve">- дату окончания приобретения Биржевых облигаций выпуска; </w:t>
      </w:r>
    </w:p>
    <w:p w:rsidR="00E948B6" w:rsidRPr="00E948B6" w:rsidRDefault="00E948B6" w:rsidP="00E948B6">
      <w:pPr>
        <w:pStyle w:val="Default"/>
        <w:jc w:val="both"/>
        <w:rPr>
          <w:rFonts w:ascii="Arial" w:hAnsi="Arial" w:cs="Arial"/>
          <w:color w:val="auto"/>
          <w:sz w:val="20"/>
          <w:szCs w:val="20"/>
        </w:rPr>
      </w:pPr>
      <w:r w:rsidRPr="00E948B6">
        <w:rPr>
          <w:rFonts w:ascii="Arial" w:hAnsi="Arial" w:cs="Arial"/>
          <w:b/>
          <w:bCs/>
          <w:i/>
          <w:iCs/>
          <w:color w:val="auto"/>
          <w:sz w:val="20"/>
          <w:szCs w:val="20"/>
        </w:rPr>
        <w:t xml:space="preserve">- цену приобретения Биржевых облигаций выпуска или порядок ее определения; </w:t>
      </w:r>
    </w:p>
    <w:p w:rsidR="00E948B6" w:rsidRPr="00E948B6" w:rsidRDefault="00E948B6" w:rsidP="00E948B6">
      <w:pPr>
        <w:pStyle w:val="Default"/>
        <w:jc w:val="both"/>
        <w:rPr>
          <w:rFonts w:ascii="Arial" w:hAnsi="Arial" w:cs="Arial"/>
          <w:color w:val="auto"/>
          <w:sz w:val="20"/>
          <w:szCs w:val="20"/>
        </w:rPr>
      </w:pPr>
      <w:r w:rsidRPr="00E948B6">
        <w:rPr>
          <w:rFonts w:ascii="Arial" w:hAnsi="Arial" w:cs="Arial"/>
          <w:b/>
          <w:bCs/>
          <w:i/>
          <w:iCs/>
          <w:color w:val="auto"/>
          <w:sz w:val="20"/>
          <w:szCs w:val="20"/>
        </w:rPr>
        <w:t xml:space="preserve">- порядок приобретения Биржевых облигаций, в том числе порядок направления Эмитентом предложения о приобретении Биржевых облигаций, порядок и срок принятия такого предложения владельцами Биржевых облигаций; </w:t>
      </w:r>
    </w:p>
    <w:p w:rsidR="00E948B6" w:rsidRPr="00E948B6" w:rsidRDefault="00E948B6" w:rsidP="00E948B6">
      <w:pPr>
        <w:pStyle w:val="Default"/>
        <w:jc w:val="both"/>
        <w:rPr>
          <w:rFonts w:ascii="Arial" w:hAnsi="Arial" w:cs="Arial"/>
          <w:color w:val="auto"/>
          <w:sz w:val="20"/>
          <w:szCs w:val="20"/>
        </w:rPr>
      </w:pPr>
      <w:r w:rsidRPr="00E948B6">
        <w:rPr>
          <w:rFonts w:ascii="Arial" w:hAnsi="Arial" w:cs="Arial"/>
          <w:b/>
          <w:bCs/>
          <w:i/>
          <w:iCs/>
          <w:color w:val="auto"/>
          <w:sz w:val="20"/>
          <w:szCs w:val="20"/>
        </w:rPr>
        <w:t xml:space="preserve">- форму и срок оплаты; </w:t>
      </w:r>
    </w:p>
    <w:p w:rsidR="00E948B6" w:rsidRPr="00E948B6" w:rsidRDefault="00E948B6" w:rsidP="00E948B6">
      <w:pPr>
        <w:pStyle w:val="Default"/>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наименование Агента, уполномоченного Эмитентом на приобретение Биржевых облигаций, его место нахождения, сведения о реквизитах его лицензии профессионального участника рынка ценных бумаг. </w:t>
      </w:r>
    </w:p>
    <w:p w:rsidR="00E948B6" w:rsidRPr="00E948B6" w:rsidRDefault="00E948B6" w:rsidP="002B1236">
      <w:pPr>
        <w:pStyle w:val="Default"/>
        <w:ind w:firstLine="567"/>
        <w:jc w:val="both"/>
        <w:rPr>
          <w:rFonts w:ascii="Arial" w:hAnsi="Arial" w:cs="Arial"/>
          <w:color w:val="auto"/>
          <w:sz w:val="20"/>
          <w:szCs w:val="20"/>
        </w:rPr>
      </w:pP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24) Эмитент раскрывает информацию об итогах приобретения Биржевых облигаций, в том числе о количестве приобретенных Биржевых облигаций, в порядке, установленном для раскрытия информации о существенных фактах, в соответствии с нормативными актами в сфере финансовых рынков в следующие сроки с даты окончания установленного срока приобретения Биржевых облигаций: </w:t>
      </w: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в ленте новостей - не позднее 1 (Одного) дня; </w:t>
      </w: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на странице Эмитента в сети Интернет - не позднее 2 (Двух) дней. </w:t>
      </w: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При этом публикация на странице Эмитента в сети Интернет осуществляется после публикации в ленте новостей. </w:t>
      </w:r>
    </w:p>
    <w:p w:rsidR="00E948B6" w:rsidRPr="00E948B6" w:rsidRDefault="00E948B6" w:rsidP="002B1236">
      <w:pPr>
        <w:pStyle w:val="Default"/>
        <w:ind w:firstLine="567"/>
        <w:rPr>
          <w:rFonts w:ascii="Arial" w:hAnsi="Arial" w:cs="Arial"/>
          <w:b/>
          <w:bCs/>
          <w:i/>
          <w:iCs/>
          <w:color w:val="auto"/>
          <w:sz w:val="20"/>
          <w:szCs w:val="20"/>
        </w:rPr>
      </w:pP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25) При смене организатора торговли, через которого будут заключаться сделки по размещению и/или приобретению Биржевых облигаций, Эмитент опубликует сообщение о существенном факте, содержащем сведения о новом организаторе торговли, через которого Эмитент будет заключать сделки по размещению и/или приобретению Биржевых облигаций не позднее, чем за 1 (Один) день до даты начала размещения и/или приобретения Биржевых облигаций, и в следующие сроки с даты, как Эмитент узнал или должен был узнать об этом обстоятельстве: </w:t>
      </w: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в ленте новостей - не позднее 1 (Одного) дня; </w:t>
      </w: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на странице Эмитента в сети Интернет - не позднее 2 (Двух) дней. </w:t>
      </w: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При этом публикация на странице Эмитента в сети Интернет осуществляется после публикации в ленте новостей. </w:t>
      </w:r>
    </w:p>
    <w:p w:rsidR="00E948B6" w:rsidRPr="00E948B6" w:rsidRDefault="00E948B6" w:rsidP="002B1236">
      <w:pPr>
        <w:pStyle w:val="Default"/>
        <w:ind w:firstLine="567"/>
        <w:jc w:val="both"/>
        <w:rPr>
          <w:rFonts w:ascii="Arial" w:hAnsi="Arial" w:cs="Arial"/>
          <w:b/>
          <w:bCs/>
          <w:i/>
          <w:iCs/>
          <w:color w:val="auto"/>
          <w:sz w:val="20"/>
          <w:szCs w:val="20"/>
        </w:rPr>
      </w:pP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Указанная информация будет включать в себя: </w:t>
      </w:r>
    </w:p>
    <w:p w:rsidR="00E948B6" w:rsidRPr="00E948B6" w:rsidRDefault="00E948B6" w:rsidP="00E948B6">
      <w:pPr>
        <w:pStyle w:val="Default"/>
        <w:jc w:val="both"/>
        <w:rPr>
          <w:rFonts w:ascii="Arial" w:hAnsi="Arial" w:cs="Arial"/>
          <w:color w:val="auto"/>
          <w:sz w:val="20"/>
          <w:szCs w:val="20"/>
        </w:rPr>
      </w:pPr>
      <w:r w:rsidRPr="00E948B6">
        <w:rPr>
          <w:rFonts w:ascii="Arial" w:hAnsi="Arial" w:cs="Arial"/>
          <w:b/>
          <w:bCs/>
          <w:i/>
          <w:iCs/>
          <w:color w:val="auto"/>
          <w:sz w:val="20"/>
          <w:szCs w:val="20"/>
        </w:rPr>
        <w:t xml:space="preserve">- полное и сокращенное наименования организатора торговли; </w:t>
      </w:r>
    </w:p>
    <w:p w:rsidR="00E948B6" w:rsidRPr="00E948B6" w:rsidRDefault="00E948B6" w:rsidP="00E948B6">
      <w:pPr>
        <w:pStyle w:val="Default"/>
        <w:jc w:val="both"/>
        <w:rPr>
          <w:rFonts w:ascii="Arial" w:hAnsi="Arial" w:cs="Arial"/>
          <w:color w:val="auto"/>
          <w:sz w:val="20"/>
          <w:szCs w:val="20"/>
        </w:rPr>
      </w:pPr>
      <w:r w:rsidRPr="00E948B6">
        <w:rPr>
          <w:rFonts w:ascii="Arial" w:hAnsi="Arial" w:cs="Arial"/>
          <w:b/>
          <w:bCs/>
          <w:i/>
          <w:iCs/>
          <w:color w:val="auto"/>
          <w:sz w:val="20"/>
          <w:szCs w:val="20"/>
        </w:rPr>
        <w:t xml:space="preserve">- его место нахождения, номер телефона, факса; </w:t>
      </w:r>
    </w:p>
    <w:p w:rsidR="00E948B6" w:rsidRPr="00E948B6" w:rsidRDefault="00E948B6" w:rsidP="00E948B6">
      <w:pPr>
        <w:pStyle w:val="Default"/>
        <w:jc w:val="both"/>
        <w:rPr>
          <w:rFonts w:ascii="Arial" w:hAnsi="Arial" w:cs="Arial"/>
          <w:b/>
          <w:bCs/>
          <w:i/>
          <w:iCs/>
          <w:color w:val="auto"/>
          <w:sz w:val="20"/>
          <w:szCs w:val="20"/>
        </w:rPr>
      </w:pPr>
      <w:r w:rsidRPr="00E948B6">
        <w:rPr>
          <w:rFonts w:ascii="Arial" w:hAnsi="Arial" w:cs="Arial"/>
          <w:b/>
          <w:bCs/>
          <w:i/>
          <w:iCs/>
          <w:color w:val="auto"/>
          <w:sz w:val="20"/>
          <w:szCs w:val="20"/>
        </w:rPr>
        <w:t xml:space="preserve">- сведения о лицензии: номер, дата выдачи, срок действия, орган, выдавший лицензию; </w:t>
      </w:r>
    </w:p>
    <w:p w:rsidR="00E948B6" w:rsidRPr="00FA2010" w:rsidRDefault="00E948B6" w:rsidP="00E948B6">
      <w:pPr>
        <w:pStyle w:val="Default"/>
        <w:jc w:val="both"/>
        <w:rPr>
          <w:b/>
          <w:bCs/>
          <w:i/>
          <w:iCs/>
          <w:color w:val="auto"/>
          <w:sz w:val="22"/>
          <w:szCs w:val="22"/>
        </w:rPr>
      </w:pPr>
      <w:r w:rsidRPr="00E948B6">
        <w:rPr>
          <w:rFonts w:ascii="Arial" w:hAnsi="Arial" w:cs="Arial"/>
          <w:b/>
          <w:bCs/>
          <w:i/>
          <w:iCs/>
          <w:color w:val="auto"/>
          <w:sz w:val="20"/>
          <w:szCs w:val="20"/>
        </w:rPr>
        <w:t>- порядок осуществления размещения и/или приобретения Биржевых облигаций в соответствии с правилами организатора торговли.</w:t>
      </w:r>
      <w:r w:rsidRPr="006F4A7F">
        <w:rPr>
          <w:b/>
          <w:bCs/>
          <w:i/>
          <w:iCs/>
          <w:color w:val="auto"/>
          <w:sz w:val="22"/>
          <w:szCs w:val="22"/>
        </w:rPr>
        <w:t xml:space="preserve"> </w:t>
      </w:r>
    </w:p>
    <w:p w:rsidR="00E948B6" w:rsidRPr="00E948B6" w:rsidRDefault="00E948B6" w:rsidP="002B1236">
      <w:pPr>
        <w:pStyle w:val="Default"/>
        <w:ind w:firstLine="567"/>
        <w:rPr>
          <w:rFonts w:ascii="Arial" w:hAnsi="Arial" w:cs="Arial"/>
          <w:b/>
          <w:bCs/>
          <w:i/>
          <w:iCs/>
          <w:color w:val="auto"/>
          <w:sz w:val="20"/>
          <w:szCs w:val="20"/>
        </w:rPr>
      </w:pPr>
    </w:p>
    <w:p w:rsidR="00E948B6" w:rsidRPr="00E948B6" w:rsidRDefault="00E948B6" w:rsidP="002B1236">
      <w:pPr>
        <w:pStyle w:val="ConsPlusNormal"/>
        <w:ind w:firstLine="567"/>
        <w:jc w:val="both"/>
        <w:rPr>
          <w:b/>
          <w:i/>
          <w:iCs/>
        </w:rPr>
      </w:pPr>
      <w:r w:rsidRPr="00E948B6">
        <w:rPr>
          <w:b/>
          <w:i/>
          <w:iCs/>
        </w:rPr>
        <w:t xml:space="preserve">26) В случае если в течение срока размещения ценных бумаг Эмитент принимает решение о внесении изменений в Программу, Условия выпуска и (или) в Проспект ценных бумаг, и (или) в случае получения Эмитентом в течение срока размещения ценных бумаг письменного требования (предписания, определения) Банка России, органа государственной власти о приостановлении размещения ценных бумаг, а если в соответствии с Федеральным </w:t>
      </w:r>
      <w:hyperlink r:id="rId20" w:history="1">
        <w:r w:rsidRPr="00E948B6">
          <w:rPr>
            <w:b/>
            <w:i/>
            <w:iCs/>
          </w:rPr>
          <w:t>законом</w:t>
        </w:r>
      </w:hyperlink>
      <w:r w:rsidRPr="00E948B6">
        <w:rPr>
          <w:b/>
          <w:i/>
          <w:iCs/>
        </w:rPr>
        <w:t xml:space="preserve"> "О рынке ценных бумаг" или иными федеральными законами выпуск (дополнительный выпуск) ценных бумаг эмитента не подлежит государственной регистрации - также иного органа (организации), уполномоченного (уполномоченной) в соответствии с законодательством Российской Федерации направлять такое требование (далее - уполномоченный орган), эмитент обязан приостановить размещение ценных бумаг и опубликовать сообщение о приостановлении размещения ценных бумаг в ленте новостей и на странице в сети Интернет.</w:t>
      </w:r>
    </w:p>
    <w:p w:rsidR="00E948B6" w:rsidRPr="00E948B6" w:rsidRDefault="00E948B6" w:rsidP="002B1236">
      <w:pPr>
        <w:pStyle w:val="Default"/>
        <w:ind w:firstLine="567"/>
        <w:jc w:val="both"/>
        <w:rPr>
          <w:rFonts w:ascii="Arial" w:hAnsi="Arial" w:cs="Arial"/>
          <w:b/>
          <w:i/>
          <w:color w:val="auto"/>
          <w:sz w:val="20"/>
          <w:szCs w:val="20"/>
        </w:rPr>
      </w:pPr>
      <w:r w:rsidRPr="00E948B6">
        <w:rPr>
          <w:rFonts w:ascii="Arial" w:hAnsi="Arial" w:cs="Arial"/>
          <w:b/>
          <w:bCs/>
          <w:i/>
          <w:iCs/>
          <w:color w:val="auto"/>
          <w:sz w:val="20"/>
          <w:szCs w:val="20"/>
        </w:rPr>
        <w:t xml:space="preserve">Сообщение о приостановлении размещения ценных бумаг должно быть опубликовано Эмитентом в следующие сроки с даты составления протокола (даты истечения срока, установленного законодательством Российской Федерации для составления протокола) собрания (заседания) уполномоченного органа управления Эмитента, на котором принято решение о внесении изменений в Программу, Условия выпуска и (или) в Проспект, либо даты получения Эмитентом письменного требования (предписания, определения) уполномоченного органа о приостановлении размещения ценных бумаг посредством почтовой, факсимильной, электронной связи, вручения под подпись в зависимости от того, какая из указанных дат наступит раньше. </w:t>
      </w:r>
    </w:p>
    <w:p w:rsidR="00E948B6" w:rsidRPr="00E948B6" w:rsidRDefault="00E948B6" w:rsidP="002B1236">
      <w:pPr>
        <w:pStyle w:val="Default"/>
        <w:ind w:firstLine="567"/>
        <w:jc w:val="both"/>
        <w:rPr>
          <w:rFonts w:ascii="Arial" w:hAnsi="Arial" w:cs="Arial"/>
          <w:b/>
          <w:i/>
          <w:color w:val="auto"/>
          <w:sz w:val="20"/>
          <w:szCs w:val="20"/>
        </w:rPr>
      </w:pPr>
      <w:r w:rsidRPr="00E948B6">
        <w:rPr>
          <w:rFonts w:ascii="Arial" w:hAnsi="Arial" w:cs="Arial"/>
          <w:b/>
          <w:i/>
          <w:color w:val="auto"/>
          <w:sz w:val="20"/>
          <w:szCs w:val="20"/>
        </w:rPr>
        <w:t xml:space="preserve">- </w:t>
      </w:r>
      <w:r w:rsidRPr="00E948B6">
        <w:rPr>
          <w:rFonts w:ascii="Arial" w:hAnsi="Arial" w:cs="Arial"/>
          <w:b/>
          <w:bCs/>
          <w:i/>
          <w:iCs/>
          <w:color w:val="auto"/>
          <w:sz w:val="20"/>
          <w:szCs w:val="20"/>
        </w:rPr>
        <w:t xml:space="preserve">в ленте новостей - не позднее 1 (Одного) дня; </w:t>
      </w:r>
    </w:p>
    <w:p w:rsidR="00E948B6" w:rsidRPr="00E948B6" w:rsidRDefault="00E948B6" w:rsidP="002B1236">
      <w:pPr>
        <w:pStyle w:val="Default"/>
        <w:ind w:firstLine="567"/>
        <w:jc w:val="both"/>
        <w:rPr>
          <w:rFonts w:ascii="Arial" w:hAnsi="Arial" w:cs="Arial"/>
          <w:b/>
          <w:i/>
          <w:color w:val="auto"/>
          <w:sz w:val="20"/>
          <w:szCs w:val="20"/>
        </w:rPr>
      </w:pPr>
      <w:r w:rsidRPr="00E948B6">
        <w:rPr>
          <w:rFonts w:ascii="Arial" w:hAnsi="Arial" w:cs="Arial"/>
          <w:b/>
          <w:i/>
          <w:color w:val="auto"/>
          <w:sz w:val="20"/>
          <w:szCs w:val="20"/>
        </w:rPr>
        <w:t xml:space="preserve">- </w:t>
      </w:r>
      <w:r w:rsidRPr="00E948B6">
        <w:rPr>
          <w:rFonts w:ascii="Arial" w:hAnsi="Arial" w:cs="Arial"/>
          <w:b/>
          <w:bCs/>
          <w:i/>
          <w:iCs/>
          <w:color w:val="auto"/>
          <w:sz w:val="20"/>
          <w:szCs w:val="20"/>
        </w:rPr>
        <w:t xml:space="preserve">на странице Эмитента в сети Интернет - не позднее 2 (Двух) дней. </w:t>
      </w:r>
    </w:p>
    <w:p w:rsidR="00E948B6" w:rsidRPr="00E948B6" w:rsidRDefault="00E948B6" w:rsidP="002B1236">
      <w:pPr>
        <w:pStyle w:val="Default"/>
        <w:ind w:firstLine="567"/>
        <w:jc w:val="both"/>
        <w:rPr>
          <w:rFonts w:ascii="Arial" w:hAnsi="Arial" w:cs="Arial"/>
          <w:b/>
          <w:i/>
          <w:color w:val="auto"/>
          <w:sz w:val="20"/>
          <w:szCs w:val="20"/>
        </w:rPr>
      </w:pPr>
      <w:r w:rsidRPr="00E948B6">
        <w:rPr>
          <w:rFonts w:ascii="Arial" w:hAnsi="Arial" w:cs="Arial"/>
          <w:b/>
          <w:bCs/>
          <w:i/>
          <w:iCs/>
          <w:color w:val="auto"/>
          <w:sz w:val="20"/>
          <w:szCs w:val="20"/>
        </w:rPr>
        <w:t xml:space="preserve">При этом публикация на странице Эмитента в сети Интернет осуществляется после публикации в ленте новостей. </w:t>
      </w:r>
    </w:p>
    <w:p w:rsidR="00E948B6" w:rsidRPr="00E948B6" w:rsidRDefault="00E948B6" w:rsidP="002B1236">
      <w:pPr>
        <w:pStyle w:val="Default"/>
        <w:ind w:firstLine="567"/>
        <w:jc w:val="both"/>
        <w:rPr>
          <w:rFonts w:ascii="Arial" w:hAnsi="Arial" w:cs="Arial"/>
          <w:b/>
          <w:bCs/>
          <w:i/>
          <w:iCs/>
          <w:color w:val="auto"/>
          <w:sz w:val="20"/>
          <w:szCs w:val="20"/>
        </w:rPr>
      </w:pPr>
    </w:p>
    <w:p w:rsidR="00E948B6" w:rsidRPr="00E948B6" w:rsidRDefault="00E948B6" w:rsidP="002B1236">
      <w:pPr>
        <w:pStyle w:val="Default"/>
        <w:ind w:firstLine="567"/>
        <w:jc w:val="both"/>
        <w:rPr>
          <w:rFonts w:ascii="Arial" w:hAnsi="Arial" w:cs="Arial"/>
          <w:b/>
          <w:i/>
          <w:color w:val="auto"/>
          <w:sz w:val="20"/>
          <w:szCs w:val="20"/>
        </w:rPr>
      </w:pPr>
      <w:r w:rsidRPr="00E948B6">
        <w:rPr>
          <w:rFonts w:ascii="Arial" w:hAnsi="Arial" w:cs="Arial"/>
          <w:b/>
          <w:bCs/>
          <w:i/>
          <w:iCs/>
          <w:color w:val="auto"/>
          <w:sz w:val="20"/>
          <w:szCs w:val="20"/>
        </w:rPr>
        <w:t xml:space="preserve">Приостановление размещения ценных бумаг до опубликования сообщения о приостановлении размещения ценных бумаг в ленте новостей и на странице в сети Интернет не допускается. </w:t>
      </w:r>
    </w:p>
    <w:p w:rsidR="00E948B6" w:rsidRPr="00E948B6" w:rsidRDefault="00E948B6" w:rsidP="002B1236">
      <w:pPr>
        <w:pStyle w:val="Default"/>
        <w:ind w:firstLine="567"/>
        <w:jc w:val="both"/>
        <w:rPr>
          <w:rFonts w:ascii="Arial" w:hAnsi="Arial" w:cs="Arial"/>
          <w:b/>
          <w:i/>
          <w:color w:val="auto"/>
          <w:sz w:val="20"/>
          <w:szCs w:val="20"/>
        </w:rPr>
      </w:pPr>
      <w:r w:rsidRPr="00E948B6">
        <w:rPr>
          <w:rFonts w:ascii="Arial" w:hAnsi="Arial" w:cs="Arial"/>
          <w:b/>
          <w:bCs/>
          <w:i/>
          <w:iCs/>
          <w:color w:val="auto"/>
          <w:sz w:val="20"/>
          <w:szCs w:val="20"/>
        </w:rPr>
        <w:t xml:space="preserve">В случае, если размещение ценных бумаг приостанавливается в связи с принятием регистрирующим органом решения о приостановлении эмиссии ценных бумаг, информация о приостановлении размещения ценных бумаг раскрывается Эмитентом в форме сообщения о существенном факте "О приостановлении эмиссии эмиссионных ценных бумаг эмитента " в порядке и сроки, предусмотренные федеральными законами, а также нормативными актами в сфере финансовых рынков, действующими на момент наступления события. </w:t>
      </w:r>
    </w:p>
    <w:p w:rsidR="00E948B6" w:rsidRPr="00E948B6" w:rsidRDefault="00E948B6" w:rsidP="002B1236">
      <w:pPr>
        <w:pStyle w:val="Default"/>
        <w:ind w:firstLine="567"/>
        <w:rPr>
          <w:rFonts w:ascii="Arial" w:hAnsi="Arial" w:cs="Arial"/>
          <w:b/>
          <w:bCs/>
          <w:i/>
          <w:iCs/>
          <w:color w:val="auto"/>
          <w:sz w:val="20"/>
          <w:szCs w:val="20"/>
        </w:rPr>
      </w:pP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27) После регистрации (утверждения биржей) в течение срока размещения ценных бумаг изменений в Программу, Условия выпуска и (или) в Проспект, принятия решения об отказе в регистрации таких изменений (принятия биржей решения об отказе в утверждении таких изменений) или получения в течение срока размещения ценных бумаг письменного уведомления (определения, решения) уполномоченного органа о разрешении возобновления размещения ценных бумаг (прекращении действия оснований для приостановления размещения ценных бумаг) эмитент обязан опубликовать сообщение о возобновлении размещения ценных бумаг в ленте новостей и на странице Эмитента в сети Интернет. </w:t>
      </w: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Сообщение о возобновлении размещения ценных бумаг должно быть опубликовано эмитентом в следующие сроки с даты опубликования информации о регистрации (утверждении биржей) изменений в Программу, Условия выпуска и (или) в Проспект или об отказе в регистрации (об отказе биржи в утверждении) таких изменений на странице регистрирующего органа (биржи) в сети Интернет или с даты получения эмитентом письменного уведомления регистрирующего органа (биржи) о регистрации (об утверждении) изменений в Программу, Условия выпуска и (или) в Проспект, или об отказе в регистрации (об отказе биржи в утверждении) таких изменений либо письменного уведомления (определения, решения) уполномоченного органа о возобновлении размещения ценных бумаг (прекращении действия оснований для приостановления размещения ценных бумаг) посредством почтовой, факсимильной, электронной связи, вручения под подпись в зависимости от того, какая из указанных дат наступит раньше: </w:t>
      </w: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в ленте новостей - не позднее 1 (Одного) дня; </w:t>
      </w: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на странице Эмитента в сети Интернет - не позднее 2 (Двух) дней. </w:t>
      </w: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При этом публикация на странице Эмитента в сети Интернет осуществляется после публикации в ленте новостей. </w:t>
      </w:r>
    </w:p>
    <w:p w:rsidR="00E948B6" w:rsidRPr="00E948B6" w:rsidRDefault="00E948B6" w:rsidP="002B1236">
      <w:pPr>
        <w:pStyle w:val="Default"/>
        <w:ind w:firstLine="567"/>
        <w:jc w:val="both"/>
        <w:rPr>
          <w:rFonts w:ascii="Arial" w:hAnsi="Arial" w:cs="Arial"/>
          <w:b/>
          <w:bCs/>
          <w:i/>
          <w:iCs/>
          <w:color w:val="auto"/>
          <w:sz w:val="20"/>
          <w:szCs w:val="20"/>
        </w:rPr>
      </w:pP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Возобновление размещения ценных бумаг до опубликования сообщения о возобновлении размещения ценных бумаг в ленте новостей и на странице Эмитента в сети Интернет не допускается. </w:t>
      </w: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В случае, если размещение ценных бумаг возобновляется в связи с принятием регистрирующим органом решения о возобновлении эмиссии ценных бумаг, информация о возобновлении размещения ценных бумаг раскрывается Эмитентом в форме сообщения о существенном факте "О возобновлении эмиссии эмиссионных ценных бумаг эмитента" в порядке и сроки, предусмотренные федеральными законами, а также нормативными актами в сфере финансовых рынков, действующими на момент наступления события. </w:t>
      </w:r>
    </w:p>
    <w:p w:rsidR="00E948B6" w:rsidRPr="00E948B6" w:rsidRDefault="00E948B6" w:rsidP="002B1236">
      <w:pPr>
        <w:pStyle w:val="Default"/>
        <w:ind w:firstLine="567"/>
        <w:jc w:val="both"/>
        <w:rPr>
          <w:rFonts w:ascii="Arial" w:hAnsi="Arial" w:cs="Arial"/>
          <w:b/>
          <w:bCs/>
          <w:i/>
          <w:iCs/>
          <w:color w:val="auto"/>
          <w:sz w:val="20"/>
          <w:szCs w:val="20"/>
        </w:rPr>
      </w:pP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28) Информация об утверждении Биржей изменений в Программу и/или в Проспект и/или в Условия выпуска должна быть раскрыта Эмитентом в следующие сроки с даты раскрытия Биржей через представительство ЗАО «ФБ «ММВБ» в сети Интернет информации об утверждении изменений в Программу и/или в Проспект и/или в Условия выпуска или получения Эмитентом письменного уведомления Биржи о принятом решении посредством почтовой, факсимильной, электронной связи, вручения под роспись в зависимости от того, какая из указанных дат наступит раньше: </w:t>
      </w: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в ленте новостей - не позднее 1 (Одного) дня; </w:t>
      </w: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на странице Эмитента в сети Интернет - не позднее 2 (Двух) дней. </w:t>
      </w: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При этом публикация на странице Эмитента в сети Интернет осуществляется после публикации в ленте новостей. </w:t>
      </w:r>
    </w:p>
    <w:p w:rsidR="00E948B6" w:rsidRPr="00E948B6" w:rsidRDefault="00E948B6" w:rsidP="002B1236">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 xml:space="preserve">Эмитент раскрывает текст изменений в Программу и/или в Проспект и/или в Условия выпуска на странице Эмитента в сети Интернет в срок не более 2 (Двух) дней с даты раскрытия Биржей информации о принятии решения об утверждении таких изменений в Программу и/или в Проспект и/или в Условия выпуска, через представительство ЗАО «ФБ ММВБ» в сети Интернет или получения Эмитентом письменного уведомления ЗАО «ФБ ММВБ» о принятом решении об утверждении таких изменений в Программу и/или в Проспект и/или в Условия выпуска, посредством почтовой, факсимильной, электронной связи, вручения под роспись в зависимости от того, какая из указанных дат наступит раньше, но не ранее даты опубликования на странице в сети Интернет текста представленных Бирже Программы и/или Условий выпуска и/или Проспекта соответственно. </w:t>
      </w:r>
    </w:p>
    <w:p w:rsidR="00E948B6" w:rsidRPr="00E948B6" w:rsidRDefault="00E948B6" w:rsidP="002B1236">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Тексты изменений в Программу и/или Проспект должны быть доступны на странице Эмитента в сети Интернет с даты их раскрытия в сети Интернет и до погашения (аннулирования) всех Биржевых облигаций, которые могут быть размещены в рамках данной Программы.</w:t>
      </w:r>
    </w:p>
    <w:p w:rsidR="00E948B6" w:rsidRPr="00E948B6" w:rsidRDefault="00E948B6" w:rsidP="002B1236">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Текст изменений в Условия выпуска должен быть доступен на странице Эмитента в сети Интернет с даты его раскрытия в сети Интернет и до погашения (аннулирования) всех Биржевых облигаций соответствующего выпуска.</w:t>
      </w:r>
    </w:p>
    <w:p w:rsidR="00E948B6" w:rsidRPr="00E948B6" w:rsidRDefault="00E948B6" w:rsidP="002B1236">
      <w:pPr>
        <w:pStyle w:val="Default"/>
        <w:ind w:firstLine="567"/>
        <w:jc w:val="both"/>
        <w:rPr>
          <w:rFonts w:ascii="Arial" w:hAnsi="Arial" w:cs="Arial"/>
          <w:color w:val="auto"/>
          <w:sz w:val="20"/>
          <w:szCs w:val="20"/>
        </w:rPr>
      </w:pP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Эмитент обязан предоставить заинтересованному лицу копии изменений в Программу и/или в Проспект и/или в Условия выпуска. </w:t>
      </w: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За предоставление копий изменений в Программу и/или в Проспект и/или в Условия выпуска взимается плата, размер которой не должен превышать затраты на их изготовление. Эмитент обязан предоставить копию изменений в Программу и/или в Проспект и/или в Условия выпуска владельцам Биржевых облигаций и иным заинтересованным лицам по их требованию за плату, не превышающую расходы по изготовлению такой копии, в срок не более 7 (Семи) дней с даты предъявления требования. </w:t>
      </w: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Банковские реквизиты расчетного счета (счетов) Эмитента для оплаты расходов по изготовлению копий документов, указанных в настоящем пункте, и размер (порядок определения размера) таких расходов опубликованы Эмитентом на странице Эмитента в сети Интернет. </w:t>
      </w:r>
    </w:p>
    <w:p w:rsidR="00E948B6" w:rsidRPr="00E948B6" w:rsidRDefault="00E948B6" w:rsidP="002B1236">
      <w:pPr>
        <w:pStyle w:val="Default"/>
        <w:ind w:firstLine="567"/>
        <w:jc w:val="both"/>
        <w:rPr>
          <w:rFonts w:ascii="Arial" w:hAnsi="Arial" w:cs="Arial"/>
          <w:b/>
          <w:bCs/>
          <w:i/>
          <w:iCs/>
          <w:color w:val="auto"/>
          <w:sz w:val="20"/>
          <w:szCs w:val="20"/>
        </w:rPr>
      </w:pP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29) Эмитент раскрывает информацию в форме ежеквартального отчета эмитента эмиссионных ценных бумаг в порядке, предусмотренном действующим законодательством РФ, в том числе нормативными актами в сфере финансовых рынков. </w:t>
      </w:r>
    </w:p>
    <w:p w:rsidR="00E948B6" w:rsidRPr="00E948B6" w:rsidRDefault="00E948B6" w:rsidP="002B1236">
      <w:pPr>
        <w:pStyle w:val="Default"/>
        <w:ind w:firstLine="567"/>
        <w:jc w:val="both"/>
        <w:rPr>
          <w:rFonts w:ascii="Arial" w:hAnsi="Arial" w:cs="Arial"/>
          <w:b/>
          <w:bCs/>
          <w:i/>
          <w:iCs/>
          <w:color w:val="auto"/>
          <w:sz w:val="20"/>
          <w:szCs w:val="20"/>
        </w:rPr>
      </w:pP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30) Эмитент раскрывает в форме сообщения о существенном факте информацию о раскрытии ежеквартального отчета «в следующие сроки с даты опубликования ежеквартального отчета Эмитента в сети Интернет: </w:t>
      </w: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в ленте новостей - не позднее 1 (Одного) дня; </w:t>
      </w: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на странице Эмитента в сети Интернет - не позднее 2 (Двух) дней. </w:t>
      </w:r>
    </w:p>
    <w:p w:rsidR="00E948B6" w:rsidRPr="00E948B6" w:rsidRDefault="00E948B6" w:rsidP="002B1236">
      <w:pPr>
        <w:pStyle w:val="Default"/>
        <w:ind w:firstLine="567"/>
        <w:jc w:val="both"/>
        <w:rPr>
          <w:rFonts w:ascii="Arial" w:hAnsi="Arial" w:cs="Arial"/>
          <w:b/>
          <w:bCs/>
          <w:i/>
          <w:iCs/>
          <w:color w:val="auto"/>
          <w:sz w:val="20"/>
          <w:szCs w:val="20"/>
        </w:rPr>
      </w:pPr>
      <w:r w:rsidRPr="00E948B6">
        <w:rPr>
          <w:rFonts w:ascii="Arial" w:hAnsi="Arial" w:cs="Arial"/>
          <w:b/>
          <w:bCs/>
          <w:i/>
          <w:iCs/>
          <w:color w:val="auto"/>
          <w:sz w:val="20"/>
          <w:szCs w:val="20"/>
        </w:rPr>
        <w:t xml:space="preserve">При этом публикация на странице Эмитента в сети Интернет осуществляется после публикации в ленте новостей. </w:t>
      </w:r>
    </w:p>
    <w:p w:rsidR="00E948B6" w:rsidRPr="00E948B6" w:rsidRDefault="00E948B6" w:rsidP="002B1236">
      <w:pPr>
        <w:pStyle w:val="Default"/>
        <w:ind w:firstLine="567"/>
        <w:jc w:val="both"/>
        <w:rPr>
          <w:rFonts w:ascii="Arial" w:hAnsi="Arial" w:cs="Arial"/>
          <w:color w:val="auto"/>
          <w:sz w:val="20"/>
          <w:szCs w:val="20"/>
        </w:rPr>
      </w:pP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31) Сведения о проведении и повестке дня общего собрания владельцев Биржевых облигаций эмитента, а также о решениях, принятых общим собранием владельцев Биржевых облигаций эмитента публикуется Эмитентом в форме сообщения о существенном факте в следующие сроки (в зависимости от раскрываемого события) с даты принятия решения о проведении общего собрания владельцев Биржевых облигаций, или с даты, в которую эмитент узнал или должен был узнать о принятии решения о проведении общего собрания владельцев Биржевых облигаций, или с даты составления протокола (даты истечения срока, установленного законодательством Российской Федерации для составления протокола) общего собрания владельцев Биржевых облигаций, или с даты, в которую эмитент узнал или должен был узнать о решениях, принятых общим собранием владельцев Биржевых облигаций эмитента, которое проводилось лицами, заявившими требование о его проведении, или с даты, следующей за датой, в которую проводилось общее собрание владельцев Биржевых облигаций эмитента, объявленное несостоявшимся, или с даты, в которую эмитент узнал или должен был узнать об объявлении несостоявшимся общего собрания владельцев Биржевых облигаций эмитента, которое проводилось лицами, заявившими требование о его проведении: </w:t>
      </w: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в ленте новостей - не позднее 1 (Одного) дня; </w:t>
      </w: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на странице Эмитента в сети Интернет - не позднее 2 (Двух) дней. </w:t>
      </w: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При этом публикация на странице Эмитента в сети Интернет осуществляется после публикации в ленте новостей. </w:t>
      </w:r>
    </w:p>
    <w:p w:rsidR="00E948B6" w:rsidRPr="00E948B6" w:rsidRDefault="00E948B6" w:rsidP="002B1236">
      <w:pPr>
        <w:pStyle w:val="Default"/>
        <w:ind w:firstLine="567"/>
        <w:jc w:val="both"/>
        <w:rPr>
          <w:rFonts w:ascii="Arial" w:hAnsi="Arial" w:cs="Arial"/>
          <w:b/>
          <w:bCs/>
          <w:i/>
          <w:iCs/>
          <w:color w:val="auto"/>
          <w:sz w:val="20"/>
          <w:szCs w:val="20"/>
        </w:rPr>
      </w:pP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32) В форме сообщения о существенном факте раскрываются сведения об определении эмитентом Биржевых облигаций нового представителя владельцев Биржевых облигаций. </w:t>
      </w: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В сообщении об определении эмитентом Биржевых облигаций нового представителя владельцев Биржевых облигаций указываются: </w:t>
      </w:r>
    </w:p>
    <w:p w:rsidR="00E948B6" w:rsidRPr="00E948B6" w:rsidRDefault="00E948B6" w:rsidP="00E948B6">
      <w:pPr>
        <w:pStyle w:val="Default"/>
        <w:numPr>
          <w:ilvl w:val="0"/>
          <w:numId w:val="38"/>
        </w:numPr>
        <w:jc w:val="both"/>
        <w:rPr>
          <w:rFonts w:ascii="Arial" w:hAnsi="Arial" w:cs="Arial"/>
          <w:color w:val="auto"/>
          <w:sz w:val="20"/>
          <w:szCs w:val="20"/>
        </w:rPr>
      </w:pPr>
      <w:r w:rsidRPr="00E948B6">
        <w:rPr>
          <w:rFonts w:ascii="Arial" w:hAnsi="Arial" w:cs="Arial"/>
          <w:b/>
          <w:bCs/>
          <w:i/>
          <w:iCs/>
          <w:color w:val="auto"/>
          <w:sz w:val="20"/>
          <w:szCs w:val="20"/>
        </w:rPr>
        <w:t xml:space="preserve">орган управления эмитента, принявший решение об определении нового представителя владельцев Биржевых облигаций, и дата принятия такого решения, а в случае, если указанное решение принято советом директоров (наблюдательным советом) или коллегиальным исполнительным органом эмитента, - также дата составления и номер протокола заседания совета директоров (наблюдательного совета) или коллегиального исполнительного органа эмитента, на котором принято указанное решение; </w:t>
      </w:r>
    </w:p>
    <w:p w:rsidR="00E948B6" w:rsidRPr="00E948B6" w:rsidRDefault="00E948B6" w:rsidP="00E948B6">
      <w:pPr>
        <w:pStyle w:val="Default"/>
        <w:numPr>
          <w:ilvl w:val="0"/>
          <w:numId w:val="38"/>
        </w:numPr>
        <w:jc w:val="both"/>
        <w:rPr>
          <w:rFonts w:ascii="Arial" w:hAnsi="Arial" w:cs="Arial"/>
          <w:color w:val="auto"/>
          <w:sz w:val="20"/>
          <w:szCs w:val="20"/>
        </w:rPr>
      </w:pPr>
      <w:r w:rsidRPr="00E948B6">
        <w:rPr>
          <w:rFonts w:ascii="Arial" w:hAnsi="Arial" w:cs="Arial"/>
          <w:b/>
          <w:bCs/>
          <w:i/>
          <w:iCs/>
          <w:color w:val="auto"/>
          <w:sz w:val="20"/>
          <w:szCs w:val="20"/>
        </w:rPr>
        <w:t xml:space="preserve">обстоятельства, в связи с наступлением которых эмитентом определен новый представитель владельцев Биржевых облигаций; </w:t>
      </w:r>
    </w:p>
    <w:p w:rsidR="00E948B6" w:rsidRPr="00E948B6" w:rsidRDefault="00E948B6" w:rsidP="00E948B6">
      <w:pPr>
        <w:pStyle w:val="Default"/>
        <w:numPr>
          <w:ilvl w:val="0"/>
          <w:numId w:val="38"/>
        </w:numPr>
        <w:jc w:val="both"/>
        <w:rPr>
          <w:rFonts w:ascii="Arial" w:hAnsi="Arial" w:cs="Arial"/>
          <w:color w:val="auto"/>
          <w:sz w:val="20"/>
          <w:szCs w:val="20"/>
        </w:rPr>
      </w:pPr>
      <w:r w:rsidRPr="00E948B6">
        <w:rPr>
          <w:rFonts w:ascii="Arial" w:hAnsi="Arial" w:cs="Arial"/>
          <w:b/>
          <w:bCs/>
          <w:i/>
          <w:iCs/>
          <w:color w:val="auto"/>
          <w:sz w:val="20"/>
          <w:szCs w:val="20"/>
        </w:rPr>
        <w:t xml:space="preserve">полное фирменное наименование (для некоммерческой организации - наименование), место нахождения, ИНН (если применимо) и ОГРН (если применимо) нового представителя владельцев Биржевых облигаций, определенного эмитентом; </w:t>
      </w:r>
    </w:p>
    <w:p w:rsidR="00E948B6" w:rsidRPr="00E948B6" w:rsidRDefault="00E948B6" w:rsidP="00E948B6">
      <w:pPr>
        <w:pStyle w:val="Default"/>
        <w:numPr>
          <w:ilvl w:val="0"/>
          <w:numId w:val="38"/>
        </w:numPr>
        <w:jc w:val="both"/>
        <w:rPr>
          <w:rFonts w:ascii="Arial" w:hAnsi="Arial" w:cs="Arial"/>
          <w:color w:val="auto"/>
          <w:sz w:val="20"/>
          <w:szCs w:val="20"/>
        </w:rPr>
      </w:pPr>
      <w:r w:rsidRPr="00E948B6">
        <w:rPr>
          <w:rFonts w:ascii="Arial" w:hAnsi="Arial" w:cs="Arial"/>
          <w:b/>
          <w:bCs/>
          <w:i/>
          <w:iCs/>
          <w:color w:val="auto"/>
          <w:sz w:val="20"/>
          <w:szCs w:val="20"/>
        </w:rPr>
        <w:t xml:space="preserve">полное фирменное наименование (для некоммерческой организации - наименование), место нахождения, ИНН (если применимо) и ОГРН (если применимо) ранее определенного (избранного) представителя владельцев Биржевых облигаций, взамен которого эмитентом определен новый представитель владельцев Биржевых облигаций; </w:t>
      </w:r>
    </w:p>
    <w:p w:rsidR="00E948B6" w:rsidRPr="00E948B6" w:rsidRDefault="00E948B6" w:rsidP="00E948B6">
      <w:pPr>
        <w:pStyle w:val="Default"/>
        <w:numPr>
          <w:ilvl w:val="0"/>
          <w:numId w:val="38"/>
        </w:numPr>
        <w:jc w:val="both"/>
        <w:rPr>
          <w:rFonts w:ascii="Arial" w:hAnsi="Arial" w:cs="Arial"/>
          <w:color w:val="auto"/>
          <w:sz w:val="20"/>
          <w:szCs w:val="20"/>
        </w:rPr>
      </w:pPr>
      <w:r w:rsidRPr="00E948B6">
        <w:rPr>
          <w:rFonts w:ascii="Arial" w:hAnsi="Arial" w:cs="Arial"/>
          <w:b/>
          <w:bCs/>
          <w:i/>
          <w:iCs/>
          <w:color w:val="auto"/>
          <w:sz w:val="20"/>
          <w:szCs w:val="20"/>
        </w:rPr>
        <w:t xml:space="preserve">дата, с которой новый представитель владельцев Биржевых облигаций, определенный эмитентом, осуществляет свою деятельность и исполняет возложенные на него обязанности; </w:t>
      </w:r>
    </w:p>
    <w:p w:rsidR="00E948B6" w:rsidRPr="00E948B6" w:rsidRDefault="00E948B6" w:rsidP="00E948B6">
      <w:pPr>
        <w:pStyle w:val="Default"/>
        <w:numPr>
          <w:ilvl w:val="0"/>
          <w:numId w:val="38"/>
        </w:numPr>
        <w:jc w:val="both"/>
        <w:rPr>
          <w:rFonts w:ascii="Arial" w:hAnsi="Arial" w:cs="Arial"/>
          <w:color w:val="auto"/>
          <w:sz w:val="20"/>
          <w:szCs w:val="20"/>
        </w:rPr>
      </w:pPr>
      <w:r w:rsidRPr="00E948B6">
        <w:rPr>
          <w:rFonts w:ascii="Arial" w:hAnsi="Arial" w:cs="Arial"/>
          <w:b/>
          <w:bCs/>
          <w:i/>
          <w:iCs/>
          <w:color w:val="auto"/>
          <w:sz w:val="20"/>
          <w:szCs w:val="20"/>
        </w:rPr>
        <w:t xml:space="preserve">серия и иные идентификационные признаки Биржевых облигаций, новый представитель владельцев которых определен эмитентом; </w:t>
      </w:r>
    </w:p>
    <w:p w:rsidR="00E948B6" w:rsidRPr="00E948B6" w:rsidRDefault="00E948B6" w:rsidP="00E948B6">
      <w:pPr>
        <w:pStyle w:val="Default"/>
        <w:numPr>
          <w:ilvl w:val="0"/>
          <w:numId w:val="38"/>
        </w:numPr>
        <w:jc w:val="both"/>
        <w:rPr>
          <w:rFonts w:ascii="Arial" w:hAnsi="Arial" w:cs="Arial"/>
          <w:b/>
          <w:bCs/>
          <w:i/>
          <w:iCs/>
          <w:color w:val="auto"/>
          <w:sz w:val="20"/>
          <w:szCs w:val="20"/>
        </w:rPr>
      </w:pPr>
      <w:r w:rsidRPr="00E948B6">
        <w:rPr>
          <w:rFonts w:ascii="Arial" w:hAnsi="Arial" w:cs="Arial"/>
          <w:b/>
          <w:bCs/>
          <w:i/>
          <w:iCs/>
          <w:color w:val="auto"/>
          <w:sz w:val="20"/>
          <w:szCs w:val="20"/>
        </w:rPr>
        <w:t xml:space="preserve">идентификационный номер выпуска Биржевых облигаций и дата его присвоения, в отношении которых эмитентом определен новый представитель владельцев Биржевых облигаций. </w:t>
      </w:r>
    </w:p>
    <w:p w:rsidR="00E948B6" w:rsidRPr="00E948B6" w:rsidRDefault="00E948B6" w:rsidP="002B1236">
      <w:pPr>
        <w:pStyle w:val="Default"/>
        <w:ind w:firstLine="567"/>
        <w:jc w:val="both"/>
        <w:rPr>
          <w:rFonts w:ascii="Arial" w:hAnsi="Arial" w:cs="Arial"/>
          <w:color w:val="auto"/>
          <w:sz w:val="20"/>
          <w:szCs w:val="20"/>
        </w:rPr>
      </w:pPr>
      <w:r w:rsidRPr="00E948B6">
        <w:rPr>
          <w:rFonts w:ascii="Arial" w:hAnsi="Arial" w:cs="Arial"/>
          <w:b/>
          <w:bCs/>
          <w:i/>
          <w:iCs/>
          <w:color w:val="auto"/>
          <w:sz w:val="20"/>
          <w:szCs w:val="20"/>
        </w:rPr>
        <w:t xml:space="preserve">Указанное сообщение публикуется Эмитентом в следующие сроки с даты принятия решения об определении представителя владельцев Биржевых облигаций лицом, занимающим должность (осуществляющим функции) единоличного исполнительного органа эмитента, а в случае, если принятие указанного решения уставом такого эмитента отнесено к компетенции совета директоров (наблюдательного совета) или коллегиального исполнительного органа такого эмитента, - с даты составления протокола (даты истечения срока, установленного законодательством Российской Федерации для составления протокола) заседания совета директоров (наблюдательного совета) или коллегиального исполнительного органа эмитента, на котором принято решение об определении нового представителя владельцев Биржевых облигаций: </w:t>
      </w:r>
    </w:p>
    <w:p w:rsidR="00E948B6" w:rsidRPr="00E948B6" w:rsidRDefault="00E948B6" w:rsidP="00E948B6">
      <w:pPr>
        <w:pStyle w:val="Default"/>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в ленте новостей - не позднее 1 (Одного) дня; </w:t>
      </w:r>
    </w:p>
    <w:p w:rsidR="00E948B6" w:rsidRPr="00E948B6" w:rsidRDefault="00E948B6" w:rsidP="00E948B6">
      <w:pPr>
        <w:pStyle w:val="Default"/>
        <w:rPr>
          <w:rFonts w:ascii="Arial" w:hAnsi="Arial" w:cs="Arial"/>
          <w:color w:val="auto"/>
          <w:sz w:val="20"/>
          <w:szCs w:val="20"/>
        </w:rPr>
      </w:pPr>
      <w:r w:rsidRPr="00E948B6">
        <w:rPr>
          <w:rFonts w:ascii="Arial" w:hAnsi="Arial" w:cs="Arial"/>
          <w:color w:val="auto"/>
          <w:sz w:val="20"/>
          <w:szCs w:val="20"/>
        </w:rPr>
        <w:t xml:space="preserve">- </w:t>
      </w:r>
      <w:r w:rsidRPr="00E948B6">
        <w:rPr>
          <w:rFonts w:ascii="Arial" w:hAnsi="Arial" w:cs="Arial"/>
          <w:b/>
          <w:bCs/>
          <w:i/>
          <w:iCs/>
          <w:color w:val="auto"/>
          <w:sz w:val="20"/>
          <w:szCs w:val="20"/>
        </w:rPr>
        <w:t xml:space="preserve">на странице Эмитента в сети Интернет - не позднее 2 (Двух) дней; </w:t>
      </w:r>
    </w:p>
    <w:p w:rsidR="00E948B6" w:rsidRPr="00E948B6" w:rsidRDefault="00E948B6" w:rsidP="002B1236">
      <w:pPr>
        <w:pStyle w:val="Default"/>
        <w:ind w:firstLine="567"/>
        <w:rPr>
          <w:rFonts w:ascii="Arial" w:hAnsi="Arial" w:cs="Arial"/>
          <w:color w:val="auto"/>
          <w:sz w:val="20"/>
          <w:szCs w:val="20"/>
        </w:rPr>
      </w:pPr>
      <w:r w:rsidRPr="00E948B6">
        <w:rPr>
          <w:rFonts w:ascii="Arial" w:hAnsi="Arial" w:cs="Arial"/>
          <w:b/>
          <w:bCs/>
          <w:i/>
          <w:iCs/>
          <w:color w:val="auto"/>
          <w:sz w:val="20"/>
          <w:szCs w:val="20"/>
        </w:rPr>
        <w:t xml:space="preserve">При этом публикация на странице Эмитента в сети Интернет осуществляется после публикации в ленте новостей. </w:t>
      </w:r>
    </w:p>
    <w:p w:rsidR="00886DC8" w:rsidRPr="003F1D31" w:rsidRDefault="00886DC8" w:rsidP="00886DC8">
      <w:pPr>
        <w:widowControl/>
        <w:spacing w:before="0" w:after="0"/>
        <w:ind w:firstLine="540"/>
        <w:jc w:val="both"/>
        <w:outlineLvl w:val="1"/>
        <w:rPr>
          <w:rFonts w:ascii="Arial" w:eastAsiaTheme="minorHAnsi" w:hAnsi="Arial" w:cs="Arial"/>
          <w:b/>
          <w:i/>
          <w:sz w:val="28"/>
          <w:szCs w:val="28"/>
          <w:lang w:eastAsia="en-US"/>
        </w:rPr>
      </w:pPr>
      <w:bookmarkStart w:id="125" w:name="_Toc448251220"/>
      <w:r w:rsidRPr="003F1D31">
        <w:rPr>
          <w:rFonts w:ascii="Arial" w:eastAsiaTheme="minorHAnsi" w:hAnsi="Arial" w:cs="Arial"/>
          <w:b/>
          <w:i/>
          <w:sz w:val="28"/>
          <w:szCs w:val="28"/>
          <w:lang w:eastAsia="en-US"/>
        </w:rPr>
        <w:t>8.12. Сведения об обеспечении исполнения обязательств по облигациям выпуска (дополнительного выпуска)</w:t>
      </w:r>
      <w:bookmarkEnd w:id="125"/>
    </w:p>
    <w:p w:rsidR="00886DC8" w:rsidRPr="00886DC8" w:rsidRDefault="00886DC8" w:rsidP="00886DC8">
      <w:pPr>
        <w:widowControl/>
        <w:spacing w:before="0" w:after="0"/>
        <w:jc w:val="both"/>
        <w:rPr>
          <w:rFonts w:eastAsiaTheme="minorHAnsi"/>
          <w:lang w:eastAsia="en-US"/>
        </w:rPr>
      </w:pPr>
    </w:p>
    <w:p w:rsidR="00886DC8" w:rsidRPr="003F1D31" w:rsidRDefault="00886DC8" w:rsidP="00886DC8">
      <w:pPr>
        <w:widowControl/>
        <w:spacing w:before="0" w:after="0"/>
        <w:ind w:firstLine="540"/>
        <w:jc w:val="both"/>
        <w:outlineLvl w:val="2"/>
        <w:rPr>
          <w:rFonts w:ascii="Arial" w:eastAsiaTheme="minorHAnsi" w:hAnsi="Arial" w:cs="Arial"/>
          <w:b/>
          <w:sz w:val="26"/>
          <w:szCs w:val="26"/>
          <w:lang w:eastAsia="en-US"/>
        </w:rPr>
      </w:pPr>
      <w:bookmarkStart w:id="126" w:name="_Toc448251221"/>
      <w:r w:rsidRPr="003F1D31">
        <w:rPr>
          <w:rFonts w:ascii="Arial" w:eastAsiaTheme="minorHAnsi" w:hAnsi="Arial" w:cs="Arial"/>
          <w:b/>
          <w:sz w:val="26"/>
          <w:szCs w:val="26"/>
          <w:lang w:eastAsia="en-US"/>
        </w:rPr>
        <w:t>8.12.1. Сведения о лице, предоставляющем обеспечение исполнения обязательств по облигациям</w:t>
      </w:r>
      <w:bookmarkEnd w:id="126"/>
    </w:p>
    <w:p w:rsidR="00E766CA" w:rsidRDefault="00E766CA" w:rsidP="00886DC8">
      <w:pPr>
        <w:widowControl/>
        <w:spacing w:before="0" w:after="0"/>
        <w:ind w:firstLine="540"/>
        <w:jc w:val="both"/>
        <w:rPr>
          <w:rFonts w:eastAsiaTheme="minorHAnsi"/>
          <w:lang w:eastAsia="en-US"/>
        </w:rPr>
      </w:pPr>
    </w:p>
    <w:p w:rsidR="00E766CA" w:rsidRPr="00E766CA" w:rsidRDefault="00E766CA" w:rsidP="00E766CA">
      <w:pPr>
        <w:pStyle w:val="Default"/>
        <w:jc w:val="both"/>
        <w:rPr>
          <w:rFonts w:ascii="Arial" w:hAnsi="Arial" w:cs="Arial"/>
          <w:color w:val="auto"/>
          <w:sz w:val="20"/>
          <w:szCs w:val="20"/>
        </w:rPr>
      </w:pPr>
      <w:r w:rsidRPr="00E766CA">
        <w:rPr>
          <w:rFonts w:ascii="Arial" w:hAnsi="Arial" w:cs="Arial"/>
          <w:b/>
          <w:bCs/>
          <w:i/>
          <w:iCs/>
          <w:color w:val="auto"/>
          <w:sz w:val="20"/>
          <w:szCs w:val="20"/>
        </w:rPr>
        <w:t xml:space="preserve">Предоставление обеспечения по Биржевым облигациям не предусмотрено. </w:t>
      </w:r>
    </w:p>
    <w:p w:rsidR="00E766CA" w:rsidRDefault="00E766CA" w:rsidP="00886DC8">
      <w:pPr>
        <w:widowControl/>
        <w:spacing w:before="0" w:after="0"/>
        <w:ind w:firstLine="540"/>
        <w:jc w:val="both"/>
        <w:rPr>
          <w:rFonts w:eastAsiaTheme="minorHAnsi"/>
          <w:lang w:eastAsia="en-US"/>
        </w:rPr>
      </w:pPr>
    </w:p>
    <w:p w:rsidR="00886DC8" w:rsidRPr="003F1D31" w:rsidRDefault="00886DC8" w:rsidP="001D210C">
      <w:pPr>
        <w:widowControl/>
        <w:spacing w:before="0" w:after="0"/>
        <w:ind w:firstLine="540"/>
        <w:jc w:val="both"/>
        <w:outlineLvl w:val="2"/>
        <w:rPr>
          <w:rFonts w:ascii="Arial" w:eastAsiaTheme="minorHAnsi" w:hAnsi="Arial" w:cs="Arial"/>
          <w:b/>
          <w:sz w:val="26"/>
          <w:szCs w:val="26"/>
          <w:lang w:eastAsia="en-US"/>
        </w:rPr>
      </w:pPr>
      <w:bookmarkStart w:id="127" w:name="_Toc448251222"/>
      <w:r w:rsidRPr="003F1D31">
        <w:rPr>
          <w:rFonts w:ascii="Arial" w:eastAsiaTheme="minorHAnsi" w:hAnsi="Arial" w:cs="Arial"/>
          <w:b/>
          <w:sz w:val="26"/>
          <w:szCs w:val="26"/>
          <w:lang w:eastAsia="en-US"/>
        </w:rPr>
        <w:t>8.12.2. Условия обеспечения исполнения обязательств по облигациям</w:t>
      </w:r>
      <w:bookmarkEnd w:id="127"/>
    </w:p>
    <w:p w:rsidR="0035293A" w:rsidRDefault="0035293A" w:rsidP="001D210C">
      <w:pPr>
        <w:pStyle w:val="Default"/>
        <w:jc w:val="both"/>
        <w:rPr>
          <w:rFonts w:ascii="Arial" w:hAnsi="Arial" w:cs="Arial"/>
          <w:b/>
          <w:bCs/>
          <w:i/>
          <w:iCs/>
          <w:color w:val="auto"/>
          <w:sz w:val="20"/>
          <w:szCs w:val="20"/>
        </w:rPr>
      </w:pPr>
    </w:p>
    <w:p w:rsidR="0035293A" w:rsidRPr="00E766CA" w:rsidRDefault="0035293A" w:rsidP="001D210C">
      <w:pPr>
        <w:pStyle w:val="Default"/>
        <w:jc w:val="both"/>
        <w:rPr>
          <w:rFonts w:ascii="Arial" w:hAnsi="Arial" w:cs="Arial"/>
          <w:color w:val="auto"/>
          <w:sz w:val="20"/>
          <w:szCs w:val="20"/>
        </w:rPr>
      </w:pPr>
      <w:r w:rsidRPr="00E766CA">
        <w:rPr>
          <w:rFonts w:ascii="Arial" w:hAnsi="Arial" w:cs="Arial"/>
          <w:b/>
          <w:bCs/>
          <w:i/>
          <w:iCs/>
          <w:color w:val="auto"/>
          <w:sz w:val="20"/>
          <w:szCs w:val="20"/>
        </w:rPr>
        <w:t xml:space="preserve">Предоставление обеспечения по Биржевым облигациям не предусмотрено. </w:t>
      </w:r>
    </w:p>
    <w:p w:rsidR="0035293A" w:rsidRDefault="0035293A" w:rsidP="001D210C">
      <w:pPr>
        <w:widowControl/>
        <w:spacing w:before="0" w:after="0"/>
        <w:ind w:firstLine="540"/>
        <w:jc w:val="both"/>
        <w:rPr>
          <w:rFonts w:eastAsiaTheme="minorHAnsi"/>
          <w:lang w:eastAsia="en-US"/>
        </w:rPr>
      </w:pPr>
    </w:p>
    <w:p w:rsidR="00886DC8" w:rsidRPr="00CD1316" w:rsidRDefault="00886DC8" w:rsidP="001D210C">
      <w:pPr>
        <w:pStyle w:val="4"/>
        <w:jc w:val="both"/>
        <w:rPr>
          <w:rFonts w:ascii="Arial" w:eastAsiaTheme="minorHAnsi" w:hAnsi="Arial" w:cs="Arial"/>
          <w:b w:val="0"/>
          <w:color w:val="auto"/>
          <w:sz w:val="26"/>
          <w:szCs w:val="26"/>
          <w:lang w:eastAsia="en-US"/>
        </w:rPr>
      </w:pPr>
      <w:bookmarkStart w:id="128" w:name="_Toc448251223"/>
      <w:r w:rsidRPr="00CD1316">
        <w:rPr>
          <w:rFonts w:ascii="Arial" w:eastAsiaTheme="minorHAnsi" w:hAnsi="Arial" w:cs="Arial"/>
          <w:b w:val="0"/>
          <w:color w:val="auto"/>
          <w:sz w:val="26"/>
          <w:szCs w:val="26"/>
          <w:lang w:eastAsia="en-US"/>
        </w:rPr>
        <w:t>8.12.2.1. Условия залога (залогового обеспечения), которым обеспечивается исполнение обязательств по облигациям</w:t>
      </w:r>
      <w:bookmarkEnd w:id="128"/>
    </w:p>
    <w:p w:rsidR="0035293A" w:rsidRDefault="0035293A" w:rsidP="001D210C">
      <w:pPr>
        <w:pStyle w:val="Default"/>
        <w:jc w:val="both"/>
        <w:rPr>
          <w:rFonts w:ascii="Arial" w:hAnsi="Arial" w:cs="Arial"/>
          <w:b/>
          <w:bCs/>
          <w:i/>
          <w:iCs/>
          <w:color w:val="auto"/>
          <w:sz w:val="20"/>
          <w:szCs w:val="20"/>
        </w:rPr>
      </w:pPr>
    </w:p>
    <w:p w:rsidR="0035293A" w:rsidRPr="0035293A" w:rsidRDefault="0035293A" w:rsidP="001D210C">
      <w:pPr>
        <w:pStyle w:val="Default"/>
        <w:jc w:val="both"/>
        <w:rPr>
          <w:rFonts w:ascii="Arial" w:hAnsi="Arial" w:cs="Arial"/>
          <w:b/>
          <w:bCs/>
          <w:i/>
          <w:iCs/>
          <w:color w:val="auto"/>
          <w:sz w:val="20"/>
          <w:szCs w:val="20"/>
        </w:rPr>
      </w:pPr>
      <w:r w:rsidRPr="0035293A">
        <w:rPr>
          <w:rFonts w:ascii="Arial" w:hAnsi="Arial" w:cs="Arial"/>
          <w:b/>
          <w:bCs/>
          <w:i/>
          <w:iCs/>
          <w:color w:val="auto"/>
          <w:sz w:val="20"/>
          <w:szCs w:val="20"/>
        </w:rPr>
        <w:t xml:space="preserve">Исполнение обязательств по </w:t>
      </w:r>
      <w:r>
        <w:rPr>
          <w:rFonts w:ascii="Arial" w:hAnsi="Arial" w:cs="Arial"/>
          <w:b/>
          <w:bCs/>
          <w:i/>
          <w:iCs/>
          <w:color w:val="auto"/>
          <w:sz w:val="20"/>
          <w:szCs w:val="20"/>
        </w:rPr>
        <w:t xml:space="preserve">Биржевым </w:t>
      </w:r>
      <w:r w:rsidRPr="0035293A">
        <w:rPr>
          <w:rFonts w:ascii="Arial" w:hAnsi="Arial" w:cs="Arial"/>
          <w:b/>
          <w:bCs/>
          <w:i/>
          <w:iCs/>
          <w:color w:val="auto"/>
          <w:sz w:val="20"/>
          <w:szCs w:val="20"/>
        </w:rPr>
        <w:t>облигациям не обеспечивается залогом.</w:t>
      </w:r>
    </w:p>
    <w:p w:rsidR="0035293A" w:rsidRDefault="0035293A" w:rsidP="001D210C">
      <w:pPr>
        <w:jc w:val="both"/>
        <w:rPr>
          <w:rFonts w:eastAsiaTheme="minorHAnsi"/>
          <w:lang w:eastAsia="en-US"/>
        </w:rPr>
      </w:pPr>
    </w:p>
    <w:p w:rsidR="00886DC8" w:rsidRPr="00CD1316" w:rsidRDefault="00886DC8" w:rsidP="001D210C">
      <w:pPr>
        <w:pStyle w:val="4"/>
        <w:jc w:val="both"/>
        <w:rPr>
          <w:rFonts w:ascii="Arial" w:eastAsiaTheme="minorHAnsi" w:hAnsi="Arial" w:cs="Arial"/>
          <w:b w:val="0"/>
          <w:color w:val="auto"/>
          <w:sz w:val="26"/>
          <w:szCs w:val="26"/>
          <w:lang w:eastAsia="en-US"/>
        </w:rPr>
      </w:pPr>
      <w:bookmarkStart w:id="129" w:name="_Toc448251224"/>
      <w:r w:rsidRPr="00CD1316">
        <w:rPr>
          <w:rFonts w:ascii="Arial" w:eastAsiaTheme="minorHAnsi" w:hAnsi="Arial" w:cs="Arial"/>
          <w:b w:val="0"/>
          <w:color w:val="auto"/>
          <w:sz w:val="26"/>
          <w:szCs w:val="26"/>
          <w:lang w:eastAsia="en-US"/>
        </w:rPr>
        <w:t>8.12.2.2. Условия поручительства, которым обеспечивается исполнение обязательств по облигациям</w:t>
      </w:r>
      <w:bookmarkEnd w:id="129"/>
    </w:p>
    <w:p w:rsidR="0035293A" w:rsidRDefault="0035293A" w:rsidP="001D210C">
      <w:pPr>
        <w:widowControl/>
        <w:spacing w:before="0" w:after="0"/>
        <w:ind w:firstLine="540"/>
        <w:jc w:val="both"/>
        <w:rPr>
          <w:rFonts w:eastAsiaTheme="minorHAnsi"/>
          <w:lang w:eastAsia="en-US"/>
        </w:rPr>
      </w:pPr>
    </w:p>
    <w:p w:rsidR="0035293A" w:rsidRPr="0035293A" w:rsidRDefault="0035293A" w:rsidP="001D210C">
      <w:pPr>
        <w:pStyle w:val="Default"/>
        <w:jc w:val="both"/>
        <w:rPr>
          <w:rFonts w:ascii="Arial" w:hAnsi="Arial" w:cs="Arial"/>
          <w:b/>
          <w:bCs/>
          <w:i/>
          <w:iCs/>
          <w:color w:val="auto"/>
          <w:sz w:val="20"/>
          <w:szCs w:val="20"/>
        </w:rPr>
      </w:pPr>
      <w:r w:rsidRPr="0035293A">
        <w:rPr>
          <w:rFonts w:ascii="Arial" w:hAnsi="Arial" w:cs="Arial"/>
          <w:b/>
          <w:bCs/>
          <w:i/>
          <w:iCs/>
          <w:color w:val="auto"/>
          <w:sz w:val="20"/>
          <w:szCs w:val="20"/>
        </w:rPr>
        <w:t xml:space="preserve">Исполнение обязательств по </w:t>
      </w:r>
      <w:r>
        <w:rPr>
          <w:rFonts w:ascii="Arial" w:hAnsi="Arial" w:cs="Arial"/>
          <w:b/>
          <w:bCs/>
          <w:i/>
          <w:iCs/>
          <w:color w:val="auto"/>
          <w:sz w:val="20"/>
          <w:szCs w:val="20"/>
        </w:rPr>
        <w:t xml:space="preserve">Биржевым </w:t>
      </w:r>
      <w:r w:rsidRPr="0035293A">
        <w:rPr>
          <w:rFonts w:ascii="Arial" w:hAnsi="Arial" w:cs="Arial"/>
          <w:b/>
          <w:bCs/>
          <w:i/>
          <w:iCs/>
          <w:color w:val="auto"/>
          <w:sz w:val="20"/>
          <w:szCs w:val="20"/>
        </w:rPr>
        <w:t xml:space="preserve">облигациям не обеспечивается </w:t>
      </w:r>
      <w:r>
        <w:rPr>
          <w:rFonts w:ascii="Arial" w:hAnsi="Arial" w:cs="Arial"/>
          <w:b/>
          <w:bCs/>
          <w:i/>
          <w:iCs/>
          <w:color w:val="auto"/>
          <w:sz w:val="20"/>
          <w:szCs w:val="20"/>
        </w:rPr>
        <w:t>поручительством</w:t>
      </w:r>
      <w:r w:rsidRPr="0035293A">
        <w:rPr>
          <w:rFonts w:ascii="Arial" w:hAnsi="Arial" w:cs="Arial"/>
          <w:b/>
          <w:bCs/>
          <w:i/>
          <w:iCs/>
          <w:color w:val="auto"/>
          <w:sz w:val="20"/>
          <w:szCs w:val="20"/>
        </w:rPr>
        <w:t>.</w:t>
      </w:r>
    </w:p>
    <w:p w:rsidR="0035293A" w:rsidRPr="00886DC8" w:rsidRDefault="0035293A" w:rsidP="001D210C">
      <w:pPr>
        <w:widowControl/>
        <w:spacing w:before="0" w:after="0"/>
        <w:jc w:val="both"/>
        <w:rPr>
          <w:rFonts w:eastAsiaTheme="minorHAnsi"/>
          <w:lang w:eastAsia="en-US"/>
        </w:rPr>
      </w:pPr>
    </w:p>
    <w:p w:rsidR="00886DC8" w:rsidRPr="00CD1316" w:rsidRDefault="00886DC8" w:rsidP="001D210C">
      <w:pPr>
        <w:pStyle w:val="4"/>
        <w:jc w:val="both"/>
        <w:rPr>
          <w:rFonts w:ascii="Arial" w:eastAsiaTheme="minorHAnsi" w:hAnsi="Arial" w:cs="Arial"/>
          <w:b w:val="0"/>
          <w:color w:val="auto"/>
          <w:sz w:val="26"/>
          <w:szCs w:val="26"/>
          <w:lang w:eastAsia="en-US"/>
        </w:rPr>
      </w:pPr>
      <w:bookmarkStart w:id="130" w:name="_Toc448251225"/>
      <w:r w:rsidRPr="00CD1316">
        <w:rPr>
          <w:rFonts w:ascii="Arial" w:eastAsiaTheme="minorHAnsi" w:hAnsi="Arial" w:cs="Arial"/>
          <w:b w:val="0"/>
          <w:color w:val="auto"/>
          <w:sz w:val="26"/>
          <w:szCs w:val="26"/>
          <w:lang w:eastAsia="en-US"/>
        </w:rPr>
        <w:t>8.12.2.3. Условия банковской гарантии, которой обеспечивается исполнение обязательств по облигациям</w:t>
      </w:r>
      <w:bookmarkEnd w:id="130"/>
    </w:p>
    <w:p w:rsidR="0035293A" w:rsidRDefault="0035293A" w:rsidP="001D210C">
      <w:pPr>
        <w:pStyle w:val="Default"/>
        <w:jc w:val="both"/>
        <w:rPr>
          <w:rFonts w:ascii="Arial" w:hAnsi="Arial" w:cs="Arial"/>
          <w:b/>
          <w:bCs/>
          <w:i/>
          <w:iCs/>
          <w:color w:val="auto"/>
          <w:sz w:val="20"/>
          <w:szCs w:val="20"/>
        </w:rPr>
      </w:pPr>
    </w:p>
    <w:p w:rsidR="0035293A" w:rsidRPr="0035293A" w:rsidRDefault="0035293A" w:rsidP="001D210C">
      <w:pPr>
        <w:pStyle w:val="Default"/>
        <w:jc w:val="both"/>
        <w:rPr>
          <w:rFonts w:ascii="Arial" w:hAnsi="Arial" w:cs="Arial"/>
          <w:b/>
          <w:bCs/>
          <w:i/>
          <w:iCs/>
          <w:color w:val="auto"/>
          <w:sz w:val="20"/>
          <w:szCs w:val="20"/>
        </w:rPr>
      </w:pPr>
      <w:r w:rsidRPr="0035293A">
        <w:rPr>
          <w:rFonts w:ascii="Arial" w:hAnsi="Arial" w:cs="Arial"/>
          <w:b/>
          <w:bCs/>
          <w:i/>
          <w:iCs/>
          <w:color w:val="auto"/>
          <w:sz w:val="20"/>
          <w:szCs w:val="20"/>
        </w:rPr>
        <w:t xml:space="preserve">Исполнение обязательств по </w:t>
      </w:r>
      <w:r>
        <w:rPr>
          <w:rFonts w:ascii="Arial" w:hAnsi="Arial" w:cs="Arial"/>
          <w:b/>
          <w:bCs/>
          <w:i/>
          <w:iCs/>
          <w:color w:val="auto"/>
          <w:sz w:val="20"/>
          <w:szCs w:val="20"/>
        </w:rPr>
        <w:t xml:space="preserve">Биржевым </w:t>
      </w:r>
      <w:r w:rsidRPr="0035293A">
        <w:rPr>
          <w:rFonts w:ascii="Arial" w:hAnsi="Arial" w:cs="Arial"/>
          <w:b/>
          <w:bCs/>
          <w:i/>
          <w:iCs/>
          <w:color w:val="auto"/>
          <w:sz w:val="20"/>
          <w:szCs w:val="20"/>
        </w:rPr>
        <w:t xml:space="preserve">облигациям не обеспечивается </w:t>
      </w:r>
      <w:r>
        <w:rPr>
          <w:rFonts w:ascii="Arial" w:hAnsi="Arial" w:cs="Arial"/>
          <w:b/>
          <w:bCs/>
          <w:i/>
          <w:iCs/>
          <w:color w:val="auto"/>
          <w:sz w:val="20"/>
          <w:szCs w:val="20"/>
        </w:rPr>
        <w:t>банковской гарантией</w:t>
      </w:r>
      <w:r w:rsidRPr="0035293A">
        <w:rPr>
          <w:rFonts w:ascii="Arial" w:hAnsi="Arial" w:cs="Arial"/>
          <w:b/>
          <w:bCs/>
          <w:i/>
          <w:iCs/>
          <w:color w:val="auto"/>
          <w:sz w:val="20"/>
          <w:szCs w:val="20"/>
        </w:rPr>
        <w:t>.</w:t>
      </w:r>
    </w:p>
    <w:p w:rsidR="00886DC8" w:rsidRPr="00886DC8" w:rsidRDefault="00886DC8" w:rsidP="00886DC8">
      <w:pPr>
        <w:widowControl/>
        <w:spacing w:before="0" w:after="0"/>
        <w:jc w:val="both"/>
        <w:rPr>
          <w:rFonts w:eastAsiaTheme="minorHAnsi"/>
          <w:lang w:eastAsia="en-US"/>
        </w:rPr>
      </w:pPr>
    </w:p>
    <w:p w:rsidR="00886DC8" w:rsidRPr="00CD1316" w:rsidRDefault="00886DC8" w:rsidP="001D210C">
      <w:pPr>
        <w:pStyle w:val="4"/>
        <w:jc w:val="both"/>
        <w:rPr>
          <w:rFonts w:ascii="Arial" w:eastAsiaTheme="minorHAnsi" w:hAnsi="Arial" w:cs="Arial"/>
          <w:b w:val="0"/>
          <w:color w:val="auto"/>
          <w:sz w:val="26"/>
          <w:szCs w:val="26"/>
          <w:lang w:eastAsia="en-US"/>
        </w:rPr>
      </w:pPr>
      <w:bookmarkStart w:id="131" w:name="_Toc448251226"/>
      <w:r w:rsidRPr="00CD1316">
        <w:rPr>
          <w:rFonts w:ascii="Arial" w:eastAsiaTheme="minorHAnsi" w:hAnsi="Arial" w:cs="Arial"/>
          <w:b w:val="0"/>
          <w:color w:val="auto"/>
          <w:sz w:val="26"/>
          <w:szCs w:val="26"/>
          <w:lang w:eastAsia="en-US"/>
        </w:rPr>
        <w:t>8.12.2.4. Условия государственной или муниципальной гарантии, которой обеспечивается исполнение обязательств по облигациям</w:t>
      </w:r>
      <w:bookmarkEnd w:id="131"/>
    </w:p>
    <w:p w:rsidR="00F53642" w:rsidRPr="00886DC8" w:rsidRDefault="00F53642" w:rsidP="001D210C">
      <w:pPr>
        <w:jc w:val="both"/>
        <w:rPr>
          <w:rFonts w:eastAsiaTheme="minorHAnsi"/>
          <w:lang w:eastAsia="en-US"/>
        </w:rPr>
      </w:pPr>
    </w:p>
    <w:p w:rsidR="00F53642" w:rsidRPr="0035293A" w:rsidRDefault="00F53642" w:rsidP="001D210C">
      <w:pPr>
        <w:pStyle w:val="Default"/>
        <w:jc w:val="both"/>
        <w:rPr>
          <w:rFonts w:ascii="Arial" w:hAnsi="Arial" w:cs="Arial"/>
          <w:b/>
          <w:bCs/>
          <w:i/>
          <w:iCs/>
          <w:color w:val="auto"/>
          <w:sz w:val="20"/>
          <w:szCs w:val="20"/>
        </w:rPr>
      </w:pPr>
      <w:r w:rsidRPr="0035293A">
        <w:rPr>
          <w:rFonts w:ascii="Arial" w:hAnsi="Arial" w:cs="Arial"/>
          <w:b/>
          <w:bCs/>
          <w:i/>
          <w:iCs/>
          <w:color w:val="auto"/>
          <w:sz w:val="20"/>
          <w:szCs w:val="20"/>
        </w:rPr>
        <w:t xml:space="preserve">Исполнение обязательств по </w:t>
      </w:r>
      <w:r>
        <w:rPr>
          <w:rFonts w:ascii="Arial" w:hAnsi="Arial" w:cs="Arial"/>
          <w:b/>
          <w:bCs/>
          <w:i/>
          <w:iCs/>
          <w:color w:val="auto"/>
          <w:sz w:val="20"/>
          <w:szCs w:val="20"/>
        </w:rPr>
        <w:t xml:space="preserve">Биржевым </w:t>
      </w:r>
      <w:r w:rsidRPr="0035293A">
        <w:rPr>
          <w:rFonts w:ascii="Arial" w:hAnsi="Arial" w:cs="Arial"/>
          <w:b/>
          <w:bCs/>
          <w:i/>
          <w:iCs/>
          <w:color w:val="auto"/>
          <w:sz w:val="20"/>
          <w:szCs w:val="20"/>
        </w:rPr>
        <w:t xml:space="preserve">облигациям не обеспечивается </w:t>
      </w:r>
      <w:r>
        <w:rPr>
          <w:rFonts w:ascii="Arial" w:hAnsi="Arial" w:cs="Arial"/>
          <w:b/>
          <w:bCs/>
          <w:i/>
          <w:iCs/>
          <w:color w:val="auto"/>
          <w:sz w:val="20"/>
          <w:szCs w:val="20"/>
        </w:rPr>
        <w:t>государственной или муниципальной гарантией</w:t>
      </w:r>
      <w:r w:rsidRPr="0035293A">
        <w:rPr>
          <w:rFonts w:ascii="Arial" w:hAnsi="Arial" w:cs="Arial"/>
          <w:b/>
          <w:bCs/>
          <w:i/>
          <w:iCs/>
          <w:color w:val="auto"/>
          <w:sz w:val="20"/>
          <w:szCs w:val="20"/>
        </w:rPr>
        <w:t>.</w:t>
      </w:r>
    </w:p>
    <w:p w:rsidR="00886DC8" w:rsidRPr="00886DC8" w:rsidRDefault="00886DC8" w:rsidP="001D210C">
      <w:pPr>
        <w:widowControl/>
        <w:spacing w:before="0" w:after="0"/>
        <w:jc w:val="both"/>
        <w:rPr>
          <w:rFonts w:eastAsiaTheme="minorHAnsi"/>
          <w:lang w:eastAsia="en-US"/>
        </w:rPr>
      </w:pPr>
    </w:p>
    <w:p w:rsidR="00886DC8" w:rsidRPr="00CD1316" w:rsidRDefault="00886DC8" w:rsidP="001D210C">
      <w:pPr>
        <w:widowControl/>
        <w:spacing w:before="0" w:after="0"/>
        <w:ind w:firstLine="540"/>
        <w:jc w:val="both"/>
        <w:outlineLvl w:val="2"/>
        <w:rPr>
          <w:rFonts w:ascii="Arial" w:eastAsiaTheme="minorHAnsi" w:hAnsi="Arial" w:cs="Arial"/>
          <w:b/>
          <w:sz w:val="26"/>
          <w:szCs w:val="26"/>
          <w:lang w:eastAsia="en-US"/>
        </w:rPr>
      </w:pPr>
      <w:bookmarkStart w:id="132" w:name="_Toc448251227"/>
      <w:r w:rsidRPr="00CD1316">
        <w:rPr>
          <w:rFonts w:ascii="Arial" w:eastAsiaTheme="minorHAnsi" w:hAnsi="Arial" w:cs="Arial"/>
          <w:b/>
          <w:sz w:val="26"/>
          <w:szCs w:val="26"/>
          <w:lang w:eastAsia="en-US"/>
        </w:rPr>
        <w:t>8.12.3. Дополнительные сведения о размещаемых облигациях с ипотечным покрытием</w:t>
      </w:r>
      <w:bookmarkEnd w:id="132"/>
    </w:p>
    <w:p w:rsidR="00886DC8" w:rsidRPr="00886DC8" w:rsidRDefault="00886DC8" w:rsidP="001D210C">
      <w:pPr>
        <w:widowControl/>
        <w:spacing w:before="0" w:after="0"/>
        <w:jc w:val="both"/>
        <w:rPr>
          <w:rFonts w:eastAsiaTheme="minorHAnsi"/>
          <w:lang w:eastAsia="en-US"/>
        </w:rPr>
      </w:pPr>
    </w:p>
    <w:p w:rsidR="00886DC8" w:rsidRPr="00CD1316" w:rsidRDefault="00886DC8" w:rsidP="001D210C">
      <w:pPr>
        <w:pStyle w:val="4"/>
        <w:jc w:val="both"/>
        <w:rPr>
          <w:rFonts w:ascii="Arial" w:eastAsiaTheme="minorHAnsi" w:hAnsi="Arial" w:cs="Arial"/>
          <w:b w:val="0"/>
          <w:color w:val="auto"/>
          <w:sz w:val="26"/>
          <w:szCs w:val="26"/>
          <w:lang w:eastAsia="en-US"/>
        </w:rPr>
      </w:pPr>
      <w:bookmarkStart w:id="133" w:name="_Toc448251228"/>
      <w:r w:rsidRPr="00CD1316">
        <w:rPr>
          <w:rFonts w:ascii="Arial" w:eastAsiaTheme="minorHAnsi" w:hAnsi="Arial" w:cs="Arial"/>
          <w:b w:val="0"/>
          <w:color w:val="auto"/>
          <w:sz w:val="26"/>
          <w:szCs w:val="26"/>
          <w:lang w:eastAsia="en-US"/>
        </w:rPr>
        <w:t>8.12.3.1. Сведения о специализированном депозитарии, осуществляющем ведение реестра ипотечного покрытия</w:t>
      </w:r>
      <w:bookmarkEnd w:id="133"/>
    </w:p>
    <w:p w:rsidR="00486B17" w:rsidRDefault="00486B17" w:rsidP="001D210C">
      <w:pPr>
        <w:widowControl/>
        <w:spacing w:before="0" w:after="0"/>
        <w:ind w:firstLine="540"/>
        <w:jc w:val="both"/>
        <w:rPr>
          <w:rFonts w:eastAsiaTheme="minorHAnsi"/>
          <w:lang w:eastAsia="en-US"/>
        </w:rPr>
      </w:pPr>
    </w:p>
    <w:p w:rsidR="0053673F" w:rsidRPr="0053673F" w:rsidRDefault="0053673F" w:rsidP="001D210C">
      <w:pPr>
        <w:pStyle w:val="Default"/>
        <w:jc w:val="both"/>
        <w:rPr>
          <w:rFonts w:ascii="Arial" w:hAnsi="Arial" w:cs="Arial"/>
          <w:b/>
          <w:bCs/>
          <w:i/>
          <w:iCs/>
          <w:color w:val="auto"/>
          <w:sz w:val="20"/>
          <w:szCs w:val="20"/>
        </w:rPr>
      </w:pPr>
      <w:r w:rsidRPr="0053673F">
        <w:rPr>
          <w:rFonts w:ascii="Arial" w:hAnsi="Arial" w:cs="Arial"/>
          <w:b/>
          <w:bCs/>
          <w:i/>
          <w:iCs/>
          <w:color w:val="auto"/>
          <w:sz w:val="20"/>
          <w:szCs w:val="20"/>
        </w:rPr>
        <w:t>Размещаемые Биржевые облигации не являются облигациями с ипотечным покрытием.</w:t>
      </w:r>
    </w:p>
    <w:p w:rsidR="00886DC8" w:rsidRPr="00886DC8" w:rsidRDefault="00886DC8" w:rsidP="001D210C">
      <w:pPr>
        <w:widowControl/>
        <w:spacing w:before="0" w:after="0"/>
        <w:jc w:val="both"/>
        <w:rPr>
          <w:rFonts w:eastAsiaTheme="minorHAnsi"/>
          <w:lang w:eastAsia="en-US"/>
        </w:rPr>
      </w:pPr>
    </w:p>
    <w:p w:rsidR="00886DC8" w:rsidRPr="00CD1316" w:rsidRDefault="00886DC8" w:rsidP="001D210C">
      <w:pPr>
        <w:pStyle w:val="4"/>
        <w:jc w:val="both"/>
        <w:rPr>
          <w:rFonts w:ascii="Arial" w:eastAsiaTheme="minorHAnsi" w:hAnsi="Arial" w:cs="Arial"/>
          <w:b w:val="0"/>
          <w:color w:val="auto"/>
          <w:sz w:val="26"/>
          <w:szCs w:val="26"/>
          <w:lang w:eastAsia="en-US"/>
        </w:rPr>
      </w:pPr>
      <w:bookmarkStart w:id="134" w:name="_Toc448251229"/>
      <w:r w:rsidRPr="00CD1316">
        <w:rPr>
          <w:rFonts w:ascii="Arial" w:eastAsiaTheme="minorHAnsi" w:hAnsi="Arial" w:cs="Arial"/>
          <w:b w:val="0"/>
          <w:color w:val="auto"/>
          <w:sz w:val="26"/>
          <w:szCs w:val="26"/>
          <w:lang w:eastAsia="en-US"/>
        </w:rPr>
        <w:t>8.12.3.2. Сведения о выпусках облигаций с ипотечным покрытием, исполнение обязательств по которым обеспечивается (может быть обеспечено) залогом данного ипотечного покрытия</w:t>
      </w:r>
      <w:bookmarkEnd w:id="134"/>
    </w:p>
    <w:p w:rsidR="00886DC8" w:rsidRDefault="00886DC8" w:rsidP="001D210C">
      <w:pPr>
        <w:widowControl/>
        <w:spacing w:before="0" w:after="0"/>
        <w:jc w:val="both"/>
        <w:rPr>
          <w:rFonts w:eastAsiaTheme="minorHAnsi"/>
          <w:lang w:eastAsia="en-US"/>
        </w:rPr>
      </w:pPr>
    </w:p>
    <w:p w:rsidR="0053673F" w:rsidRPr="0053673F" w:rsidRDefault="0053673F" w:rsidP="001D210C">
      <w:pPr>
        <w:pStyle w:val="Default"/>
        <w:jc w:val="both"/>
        <w:rPr>
          <w:rFonts w:ascii="Arial" w:hAnsi="Arial" w:cs="Arial"/>
          <w:b/>
          <w:bCs/>
          <w:i/>
          <w:iCs/>
          <w:color w:val="auto"/>
          <w:sz w:val="20"/>
          <w:szCs w:val="20"/>
        </w:rPr>
      </w:pPr>
      <w:r w:rsidRPr="0053673F">
        <w:rPr>
          <w:rFonts w:ascii="Arial" w:hAnsi="Arial" w:cs="Arial"/>
          <w:b/>
          <w:bCs/>
          <w:i/>
          <w:iCs/>
          <w:color w:val="auto"/>
          <w:sz w:val="20"/>
          <w:szCs w:val="20"/>
        </w:rPr>
        <w:t>Размещаемые Биржевые облигации не являются облигациями с ипотечным покрытием.</w:t>
      </w:r>
    </w:p>
    <w:p w:rsidR="0053673F" w:rsidRPr="00886DC8" w:rsidRDefault="0053673F" w:rsidP="001D210C">
      <w:pPr>
        <w:widowControl/>
        <w:spacing w:before="0" w:after="0"/>
        <w:jc w:val="both"/>
        <w:rPr>
          <w:rFonts w:eastAsiaTheme="minorHAnsi"/>
          <w:lang w:eastAsia="en-US"/>
        </w:rPr>
      </w:pPr>
    </w:p>
    <w:p w:rsidR="00886DC8" w:rsidRPr="00CD1316" w:rsidRDefault="00886DC8" w:rsidP="001D210C">
      <w:pPr>
        <w:pStyle w:val="4"/>
        <w:jc w:val="both"/>
        <w:rPr>
          <w:rFonts w:ascii="Arial" w:eastAsiaTheme="minorHAnsi" w:hAnsi="Arial" w:cs="Arial"/>
          <w:b w:val="0"/>
          <w:color w:val="auto"/>
          <w:sz w:val="26"/>
          <w:szCs w:val="26"/>
          <w:lang w:eastAsia="en-US"/>
        </w:rPr>
      </w:pPr>
      <w:bookmarkStart w:id="135" w:name="_Toc448251230"/>
      <w:r w:rsidRPr="00CD1316">
        <w:rPr>
          <w:rFonts w:ascii="Arial" w:eastAsiaTheme="minorHAnsi" w:hAnsi="Arial" w:cs="Arial"/>
          <w:b w:val="0"/>
          <w:color w:val="auto"/>
          <w:sz w:val="26"/>
          <w:szCs w:val="26"/>
          <w:lang w:eastAsia="en-US"/>
        </w:rPr>
        <w:t>8.12.3.3. Сведения о страховании риска ответственности перед владельцами облигаций с ипотечным покрытием</w:t>
      </w:r>
      <w:bookmarkEnd w:id="135"/>
    </w:p>
    <w:p w:rsidR="00886DC8" w:rsidRDefault="00886DC8" w:rsidP="001D210C">
      <w:pPr>
        <w:widowControl/>
        <w:spacing w:before="0" w:after="0"/>
        <w:jc w:val="both"/>
        <w:rPr>
          <w:rFonts w:eastAsiaTheme="minorHAnsi"/>
          <w:lang w:eastAsia="en-US"/>
        </w:rPr>
      </w:pPr>
    </w:p>
    <w:p w:rsidR="0053673F" w:rsidRPr="0053673F" w:rsidRDefault="0053673F" w:rsidP="001D210C">
      <w:pPr>
        <w:pStyle w:val="Default"/>
        <w:jc w:val="both"/>
        <w:rPr>
          <w:rFonts w:ascii="Arial" w:hAnsi="Arial" w:cs="Arial"/>
          <w:b/>
          <w:bCs/>
          <w:i/>
          <w:iCs/>
          <w:color w:val="auto"/>
          <w:sz w:val="20"/>
          <w:szCs w:val="20"/>
        </w:rPr>
      </w:pPr>
      <w:r w:rsidRPr="0053673F">
        <w:rPr>
          <w:rFonts w:ascii="Arial" w:hAnsi="Arial" w:cs="Arial"/>
          <w:b/>
          <w:bCs/>
          <w:i/>
          <w:iCs/>
          <w:color w:val="auto"/>
          <w:sz w:val="20"/>
          <w:szCs w:val="20"/>
        </w:rPr>
        <w:t>Размещаемые Биржевые облигации не являются облигациями с ипотечным покрытием.</w:t>
      </w:r>
    </w:p>
    <w:p w:rsidR="0053673F" w:rsidRPr="00886DC8" w:rsidRDefault="0053673F" w:rsidP="001D210C">
      <w:pPr>
        <w:widowControl/>
        <w:spacing w:before="0" w:after="0"/>
        <w:jc w:val="both"/>
        <w:rPr>
          <w:rFonts w:eastAsiaTheme="minorHAnsi"/>
          <w:lang w:eastAsia="en-US"/>
        </w:rPr>
      </w:pPr>
    </w:p>
    <w:p w:rsidR="00886DC8" w:rsidRPr="00CD1316" w:rsidRDefault="00886DC8" w:rsidP="001D210C">
      <w:pPr>
        <w:pStyle w:val="4"/>
        <w:jc w:val="both"/>
        <w:rPr>
          <w:rFonts w:ascii="Arial" w:eastAsiaTheme="minorHAnsi" w:hAnsi="Arial" w:cs="Arial"/>
          <w:b w:val="0"/>
          <w:color w:val="auto"/>
          <w:sz w:val="26"/>
          <w:szCs w:val="26"/>
          <w:lang w:eastAsia="en-US"/>
        </w:rPr>
      </w:pPr>
      <w:bookmarkStart w:id="136" w:name="_Toc448251231"/>
      <w:r w:rsidRPr="00CD1316">
        <w:rPr>
          <w:rFonts w:ascii="Arial" w:eastAsiaTheme="minorHAnsi" w:hAnsi="Arial" w:cs="Arial"/>
          <w:b w:val="0"/>
          <w:color w:val="auto"/>
          <w:sz w:val="26"/>
          <w:szCs w:val="26"/>
          <w:lang w:eastAsia="en-US"/>
        </w:rPr>
        <w:t>8.12.3.4. Сведения о сервисном агенте, уполномоченном получать исполнение от должников, обеспеченные ипотекой требования к которым составляют ипотечное покрытие облигаций</w:t>
      </w:r>
      <w:bookmarkEnd w:id="136"/>
    </w:p>
    <w:p w:rsidR="0053673F" w:rsidRDefault="0053673F" w:rsidP="001D210C">
      <w:pPr>
        <w:pStyle w:val="Default"/>
        <w:jc w:val="both"/>
        <w:rPr>
          <w:rFonts w:ascii="Arial" w:hAnsi="Arial" w:cs="Arial"/>
          <w:b/>
          <w:bCs/>
          <w:i/>
          <w:iCs/>
          <w:color w:val="auto"/>
          <w:sz w:val="20"/>
          <w:szCs w:val="20"/>
        </w:rPr>
      </w:pPr>
    </w:p>
    <w:p w:rsidR="0053673F" w:rsidRPr="0053673F" w:rsidRDefault="0053673F" w:rsidP="001D210C">
      <w:pPr>
        <w:pStyle w:val="Default"/>
        <w:jc w:val="both"/>
        <w:rPr>
          <w:rFonts w:ascii="Arial" w:hAnsi="Arial" w:cs="Arial"/>
          <w:b/>
          <w:bCs/>
          <w:i/>
          <w:iCs/>
          <w:color w:val="auto"/>
          <w:sz w:val="20"/>
          <w:szCs w:val="20"/>
        </w:rPr>
      </w:pPr>
      <w:r w:rsidRPr="0053673F">
        <w:rPr>
          <w:rFonts w:ascii="Arial" w:hAnsi="Arial" w:cs="Arial"/>
          <w:b/>
          <w:bCs/>
          <w:i/>
          <w:iCs/>
          <w:color w:val="auto"/>
          <w:sz w:val="20"/>
          <w:szCs w:val="20"/>
        </w:rPr>
        <w:t>Размещаемые Биржевые облигации не являются облигациями с ипотечным покрытием.</w:t>
      </w:r>
    </w:p>
    <w:p w:rsidR="00886DC8" w:rsidRPr="00886DC8" w:rsidRDefault="00886DC8" w:rsidP="001D210C">
      <w:pPr>
        <w:widowControl/>
        <w:spacing w:before="0" w:after="0"/>
        <w:jc w:val="both"/>
        <w:rPr>
          <w:rFonts w:eastAsiaTheme="minorHAnsi"/>
          <w:lang w:eastAsia="en-US"/>
        </w:rPr>
      </w:pPr>
    </w:p>
    <w:p w:rsidR="00886DC8" w:rsidRPr="00CD1316" w:rsidRDefault="00886DC8" w:rsidP="001D210C">
      <w:pPr>
        <w:pStyle w:val="4"/>
        <w:jc w:val="both"/>
        <w:rPr>
          <w:rFonts w:ascii="Arial" w:eastAsiaTheme="minorHAnsi" w:hAnsi="Arial" w:cs="Arial"/>
          <w:b w:val="0"/>
          <w:color w:val="auto"/>
          <w:sz w:val="26"/>
          <w:szCs w:val="26"/>
          <w:lang w:eastAsia="en-US"/>
        </w:rPr>
      </w:pPr>
      <w:bookmarkStart w:id="137" w:name="_Toc448251232"/>
      <w:r w:rsidRPr="00CD1316">
        <w:rPr>
          <w:rFonts w:ascii="Arial" w:eastAsiaTheme="minorHAnsi" w:hAnsi="Arial" w:cs="Arial"/>
          <w:b w:val="0"/>
          <w:color w:val="auto"/>
          <w:sz w:val="26"/>
          <w:szCs w:val="26"/>
          <w:lang w:eastAsia="en-US"/>
        </w:rPr>
        <w:t>8.12.3.5. Информация о составе, структуре и размере ипотечного покрытия</w:t>
      </w:r>
      <w:bookmarkEnd w:id="137"/>
    </w:p>
    <w:p w:rsidR="00886DC8" w:rsidRDefault="00886DC8" w:rsidP="001D210C">
      <w:pPr>
        <w:widowControl/>
        <w:spacing w:before="0" w:after="0"/>
        <w:ind w:firstLine="540"/>
        <w:jc w:val="both"/>
        <w:rPr>
          <w:rFonts w:eastAsiaTheme="minorHAnsi"/>
          <w:lang w:eastAsia="en-US"/>
        </w:rPr>
      </w:pPr>
    </w:p>
    <w:p w:rsidR="0053673F" w:rsidRPr="0053673F" w:rsidRDefault="0053673F" w:rsidP="001D210C">
      <w:pPr>
        <w:pStyle w:val="Default"/>
        <w:jc w:val="both"/>
        <w:rPr>
          <w:rFonts w:ascii="Arial" w:hAnsi="Arial" w:cs="Arial"/>
          <w:b/>
          <w:bCs/>
          <w:i/>
          <w:iCs/>
          <w:color w:val="auto"/>
          <w:sz w:val="20"/>
          <w:szCs w:val="20"/>
        </w:rPr>
      </w:pPr>
      <w:r w:rsidRPr="0053673F">
        <w:rPr>
          <w:rFonts w:ascii="Arial" w:hAnsi="Arial" w:cs="Arial"/>
          <w:b/>
          <w:bCs/>
          <w:i/>
          <w:iCs/>
          <w:color w:val="auto"/>
          <w:sz w:val="20"/>
          <w:szCs w:val="20"/>
        </w:rPr>
        <w:t>Размещаемые Биржевые облигации не являются облигациями с ипотечным покрытием.</w:t>
      </w:r>
    </w:p>
    <w:p w:rsidR="00886DC8" w:rsidRPr="00886DC8" w:rsidRDefault="00886DC8" w:rsidP="001D210C">
      <w:pPr>
        <w:widowControl/>
        <w:spacing w:before="0" w:after="0"/>
        <w:jc w:val="both"/>
        <w:rPr>
          <w:rFonts w:eastAsiaTheme="minorHAnsi"/>
          <w:lang w:eastAsia="en-US"/>
        </w:rPr>
      </w:pPr>
    </w:p>
    <w:p w:rsidR="00886DC8" w:rsidRPr="00CD1316" w:rsidRDefault="00886DC8" w:rsidP="001D210C">
      <w:pPr>
        <w:widowControl/>
        <w:spacing w:before="0" w:after="0"/>
        <w:ind w:firstLine="540"/>
        <w:jc w:val="both"/>
        <w:outlineLvl w:val="2"/>
        <w:rPr>
          <w:rFonts w:ascii="Arial" w:eastAsiaTheme="minorHAnsi" w:hAnsi="Arial" w:cs="Arial"/>
          <w:b/>
          <w:sz w:val="26"/>
          <w:szCs w:val="26"/>
          <w:lang w:eastAsia="en-US"/>
        </w:rPr>
      </w:pPr>
      <w:bookmarkStart w:id="138" w:name="_Toc448251233"/>
      <w:r w:rsidRPr="00CD1316">
        <w:rPr>
          <w:rFonts w:ascii="Arial" w:eastAsiaTheme="minorHAnsi" w:hAnsi="Arial" w:cs="Arial"/>
          <w:b/>
          <w:sz w:val="26"/>
          <w:szCs w:val="26"/>
          <w:lang w:eastAsia="en-US"/>
        </w:rPr>
        <w:t>8.12.4. Дополнительные сведения о размещаемых облигациях с залоговым обеспечением денежными требованиями</w:t>
      </w:r>
      <w:bookmarkEnd w:id="138"/>
    </w:p>
    <w:p w:rsidR="00886DC8" w:rsidRPr="00886DC8" w:rsidRDefault="00886DC8" w:rsidP="001D210C">
      <w:pPr>
        <w:widowControl/>
        <w:spacing w:before="0" w:after="0"/>
        <w:jc w:val="both"/>
        <w:rPr>
          <w:rFonts w:eastAsiaTheme="minorHAnsi"/>
          <w:lang w:eastAsia="en-US"/>
        </w:rPr>
      </w:pPr>
    </w:p>
    <w:p w:rsidR="00886DC8" w:rsidRPr="00CD1316" w:rsidRDefault="00886DC8" w:rsidP="001D210C">
      <w:pPr>
        <w:pStyle w:val="4"/>
        <w:jc w:val="both"/>
        <w:rPr>
          <w:rFonts w:ascii="Arial" w:eastAsiaTheme="minorHAnsi" w:hAnsi="Arial" w:cs="Arial"/>
          <w:b w:val="0"/>
          <w:color w:val="auto"/>
          <w:sz w:val="26"/>
          <w:szCs w:val="26"/>
          <w:lang w:eastAsia="en-US"/>
        </w:rPr>
      </w:pPr>
      <w:bookmarkStart w:id="139" w:name="_Toc448251234"/>
      <w:r w:rsidRPr="00CD1316">
        <w:rPr>
          <w:rFonts w:ascii="Arial" w:eastAsiaTheme="minorHAnsi" w:hAnsi="Arial" w:cs="Arial"/>
          <w:b w:val="0"/>
          <w:color w:val="auto"/>
          <w:sz w:val="26"/>
          <w:szCs w:val="26"/>
          <w:lang w:eastAsia="en-US"/>
        </w:rPr>
        <w:t>8.12.4.1. Сведения о лице, осуществляющем учет находящихся в залоге денежных требований и денежных сумм, зачисленных на залоговый счет</w:t>
      </w:r>
      <w:bookmarkEnd w:id="139"/>
    </w:p>
    <w:p w:rsidR="0053673F" w:rsidRPr="0053673F" w:rsidRDefault="0053673F" w:rsidP="001D210C">
      <w:pPr>
        <w:pStyle w:val="Default"/>
        <w:jc w:val="both"/>
        <w:rPr>
          <w:rFonts w:ascii="Arial" w:hAnsi="Arial" w:cs="Arial"/>
          <w:b/>
          <w:bCs/>
          <w:i/>
          <w:iCs/>
          <w:color w:val="auto"/>
          <w:sz w:val="20"/>
          <w:szCs w:val="20"/>
        </w:rPr>
      </w:pPr>
      <w:r w:rsidRPr="0053673F">
        <w:rPr>
          <w:rFonts w:ascii="Arial" w:hAnsi="Arial" w:cs="Arial"/>
          <w:b/>
          <w:bCs/>
          <w:i/>
          <w:iCs/>
          <w:color w:val="auto"/>
          <w:sz w:val="20"/>
          <w:szCs w:val="20"/>
        </w:rPr>
        <w:t>Размещаемые Биржевые облигации не являются облигациями с залоговым обеспечением денежными требованиями.</w:t>
      </w:r>
    </w:p>
    <w:p w:rsidR="00886DC8" w:rsidRPr="00886DC8" w:rsidRDefault="00886DC8" w:rsidP="001D210C">
      <w:pPr>
        <w:widowControl/>
        <w:spacing w:before="0" w:after="0"/>
        <w:jc w:val="both"/>
        <w:rPr>
          <w:rFonts w:eastAsiaTheme="minorHAnsi"/>
          <w:lang w:eastAsia="en-US"/>
        </w:rPr>
      </w:pPr>
    </w:p>
    <w:p w:rsidR="00886DC8" w:rsidRPr="00CD1316" w:rsidRDefault="00886DC8" w:rsidP="001D210C">
      <w:pPr>
        <w:pStyle w:val="4"/>
        <w:jc w:val="both"/>
        <w:rPr>
          <w:rFonts w:ascii="Arial" w:eastAsiaTheme="minorHAnsi" w:hAnsi="Arial" w:cs="Arial"/>
          <w:b w:val="0"/>
          <w:color w:val="auto"/>
          <w:sz w:val="26"/>
          <w:szCs w:val="26"/>
          <w:lang w:eastAsia="en-US"/>
        </w:rPr>
      </w:pPr>
      <w:bookmarkStart w:id="140" w:name="_Toc448251235"/>
      <w:r w:rsidRPr="00CD1316">
        <w:rPr>
          <w:rFonts w:ascii="Arial" w:eastAsiaTheme="minorHAnsi" w:hAnsi="Arial" w:cs="Arial"/>
          <w:b w:val="0"/>
          <w:color w:val="auto"/>
          <w:sz w:val="26"/>
          <w:szCs w:val="26"/>
          <w:lang w:eastAsia="en-US"/>
        </w:rPr>
        <w:t>8.12.4.2. Сведения о выпусках облигаций с залоговым обеспечением денежными требованиями и денежных требованиях из заключенных эмитентом договоров, исполнение обязательств по которым обеспечивается (может быть обеспечено) данным залоговым обеспечением</w:t>
      </w:r>
      <w:bookmarkEnd w:id="140"/>
    </w:p>
    <w:p w:rsidR="00886DC8" w:rsidRDefault="00886DC8" w:rsidP="001D210C">
      <w:pPr>
        <w:widowControl/>
        <w:spacing w:before="0" w:after="0"/>
        <w:jc w:val="both"/>
        <w:rPr>
          <w:rFonts w:eastAsiaTheme="minorHAnsi"/>
          <w:lang w:eastAsia="en-US"/>
        </w:rPr>
      </w:pPr>
    </w:p>
    <w:p w:rsidR="0053673F" w:rsidRPr="0053673F" w:rsidRDefault="0053673F" w:rsidP="001D210C">
      <w:pPr>
        <w:pStyle w:val="Default"/>
        <w:jc w:val="both"/>
        <w:rPr>
          <w:rFonts w:ascii="Arial" w:hAnsi="Arial" w:cs="Arial"/>
          <w:b/>
          <w:bCs/>
          <w:i/>
          <w:iCs/>
          <w:color w:val="auto"/>
          <w:sz w:val="20"/>
          <w:szCs w:val="20"/>
        </w:rPr>
      </w:pPr>
      <w:r w:rsidRPr="0053673F">
        <w:rPr>
          <w:rFonts w:ascii="Arial" w:hAnsi="Arial" w:cs="Arial"/>
          <w:b/>
          <w:bCs/>
          <w:i/>
          <w:iCs/>
          <w:color w:val="auto"/>
          <w:sz w:val="20"/>
          <w:szCs w:val="20"/>
        </w:rPr>
        <w:t>Размещаемые Биржевые облигации не являются облигациями с залоговым обеспечением денежными требованиями.</w:t>
      </w:r>
    </w:p>
    <w:p w:rsidR="0053673F" w:rsidRPr="00886DC8" w:rsidRDefault="0053673F" w:rsidP="001D210C">
      <w:pPr>
        <w:widowControl/>
        <w:spacing w:before="0" w:after="0"/>
        <w:jc w:val="both"/>
        <w:rPr>
          <w:rFonts w:eastAsiaTheme="minorHAnsi"/>
          <w:lang w:eastAsia="en-US"/>
        </w:rPr>
      </w:pPr>
    </w:p>
    <w:p w:rsidR="00886DC8" w:rsidRPr="00CD1316" w:rsidRDefault="00886DC8" w:rsidP="001D210C">
      <w:pPr>
        <w:pStyle w:val="4"/>
        <w:jc w:val="both"/>
        <w:rPr>
          <w:rFonts w:ascii="Arial" w:eastAsiaTheme="minorHAnsi" w:hAnsi="Arial" w:cs="Arial"/>
          <w:b w:val="0"/>
          <w:color w:val="auto"/>
          <w:sz w:val="26"/>
          <w:szCs w:val="26"/>
          <w:lang w:eastAsia="en-US"/>
        </w:rPr>
      </w:pPr>
      <w:bookmarkStart w:id="141" w:name="_Toc448251236"/>
      <w:r w:rsidRPr="00CD1316">
        <w:rPr>
          <w:rFonts w:ascii="Arial" w:eastAsiaTheme="minorHAnsi" w:hAnsi="Arial" w:cs="Arial"/>
          <w:b w:val="0"/>
          <w:color w:val="auto"/>
          <w:sz w:val="26"/>
          <w:szCs w:val="26"/>
          <w:lang w:eastAsia="en-US"/>
        </w:rPr>
        <w:t>8.12.4.3. Сведения о страховании риска убытков, связанных с неисполнением обязательств по находящимся в залоге денежным требованиям, и (или) риска ответственности за неисполнение обязательств по облигациям с залоговым обеспечением денежными требованиями</w:t>
      </w:r>
      <w:bookmarkEnd w:id="141"/>
    </w:p>
    <w:p w:rsidR="00886DC8" w:rsidRDefault="00886DC8" w:rsidP="001D210C">
      <w:pPr>
        <w:widowControl/>
        <w:spacing w:before="0" w:after="0"/>
        <w:jc w:val="both"/>
        <w:rPr>
          <w:rFonts w:eastAsiaTheme="minorHAnsi"/>
          <w:lang w:eastAsia="en-US"/>
        </w:rPr>
      </w:pPr>
    </w:p>
    <w:p w:rsidR="0053673F" w:rsidRPr="0053673F" w:rsidRDefault="0053673F" w:rsidP="001D210C">
      <w:pPr>
        <w:pStyle w:val="Default"/>
        <w:jc w:val="both"/>
        <w:rPr>
          <w:rFonts w:ascii="Arial" w:hAnsi="Arial" w:cs="Arial"/>
          <w:b/>
          <w:bCs/>
          <w:i/>
          <w:iCs/>
          <w:color w:val="auto"/>
          <w:sz w:val="20"/>
          <w:szCs w:val="20"/>
        </w:rPr>
      </w:pPr>
      <w:r w:rsidRPr="0053673F">
        <w:rPr>
          <w:rFonts w:ascii="Arial" w:hAnsi="Arial" w:cs="Arial"/>
          <w:b/>
          <w:bCs/>
          <w:i/>
          <w:iCs/>
          <w:color w:val="auto"/>
          <w:sz w:val="20"/>
          <w:szCs w:val="20"/>
        </w:rPr>
        <w:t>Размещаемые Биржевые облигации не являются облигациями с залоговым обеспечением денежными требованиями.</w:t>
      </w:r>
    </w:p>
    <w:p w:rsidR="0053673F" w:rsidRPr="00886DC8" w:rsidRDefault="0053673F" w:rsidP="001D210C">
      <w:pPr>
        <w:widowControl/>
        <w:spacing w:before="0" w:after="0"/>
        <w:jc w:val="both"/>
        <w:rPr>
          <w:rFonts w:eastAsiaTheme="minorHAnsi"/>
          <w:lang w:eastAsia="en-US"/>
        </w:rPr>
      </w:pPr>
    </w:p>
    <w:p w:rsidR="00886DC8" w:rsidRPr="00CD1316" w:rsidRDefault="00886DC8" w:rsidP="001D210C">
      <w:pPr>
        <w:pStyle w:val="4"/>
        <w:jc w:val="both"/>
        <w:rPr>
          <w:rFonts w:ascii="Arial" w:eastAsiaTheme="minorHAnsi" w:hAnsi="Arial" w:cs="Arial"/>
          <w:b w:val="0"/>
          <w:color w:val="auto"/>
          <w:sz w:val="26"/>
          <w:szCs w:val="26"/>
          <w:lang w:eastAsia="en-US"/>
        </w:rPr>
      </w:pPr>
      <w:bookmarkStart w:id="142" w:name="_Toc448251237"/>
      <w:r w:rsidRPr="00CD1316">
        <w:rPr>
          <w:rFonts w:ascii="Arial" w:eastAsiaTheme="minorHAnsi" w:hAnsi="Arial" w:cs="Arial"/>
          <w:b w:val="0"/>
          <w:color w:val="auto"/>
          <w:sz w:val="26"/>
          <w:szCs w:val="26"/>
          <w:lang w:eastAsia="en-US"/>
        </w:rPr>
        <w:t>8.12.4.4. Сведения об организациях, обслуживающих находящиеся в залоге денежные требования</w:t>
      </w:r>
      <w:bookmarkEnd w:id="142"/>
    </w:p>
    <w:p w:rsidR="00886DC8" w:rsidRDefault="00886DC8" w:rsidP="001D210C">
      <w:pPr>
        <w:widowControl/>
        <w:spacing w:before="0" w:after="0"/>
        <w:jc w:val="both"/>
        <w:rPr>
          <w:rFonts w:eastAsiaTheme="minorHAnsi"/>
          <w:lang w:eastAsia="en-US"/>
        </w:rPr>
      </w:pPr>
    </w:p>
    <w:p w:rsidR="00423112" w:rsidRPr="0053673F" w:rsidRDefault="00423112" w:rsidP="001D210C">
      <w:pPr>
        <w:pStyle w:val="Default"/>
        <w:jc w:val="both"/>
        <w:rPr>
          <w:rFonts w:ascii="Arial" w:hAnsi="Arial" w:cs="Arial"/>
          <w:b/>
          <w:bCs/>
          <w:i/>
          <w:iCs/>
          <w:color w:val="auto"/>
          <w:sz w:val="20"/>
          <w:szCs w:val="20"/>
        </w:rPr>
      </w:pPr>
      <w:r w:rsidRPr="0053673F">
        <w:rPr>
          <w:rFonts w:ascii="Arial" w:hAnsi="Arial" w:cs="Arial"/>
          <w:b/>
          <w:bCs/>
          <w:i/>
          <w:iCs/>
          <w:color w:val="auto"/>
          <w:sz w:val="20"/>
          <w:szCs w:val="20"/>
        </w:rPr>
        <w:t>Размещаемые Биржевые облигации не являются облигациями с залоговым обеспечением денежными требованиями.</w:t>
      </w:r>
    </w:p>
    <w:p w:rsidR="00423112" w:rsidRPr="00886DC8" w:rsidRDefault="00423112" w:rsidP="001D210C">
      <w:pPr>
        <w:widowControl/>
        <w:spacing w:before="0" w:after="0"/>
        <w:jc w:val="both"/>
        <w:rPr>
          <w:rFonts w:eastAsiaTheme="minorHAnsi"/>
          <w:lang w:eastAsia="en-US"/>
        </w:rPr>
      </w:pPr>
    </w:p>
    <w:p w:rsidR="00886DC8" w:rsidRPr="00CD1316" w:rsidRDefault="00886DC8" w:rsidP="001D210C">
      <w:pPr>
        <w:pStyle w:val="4"/>
        <w:jc w:val="both"/>
        <w:rPr>
          <w:rFonts w:ascii="Arial" w:eastAsiaTheme="minorHAnsi" w:hAnsi="Arial" w:cs="Arial"/>
          <w:b w:val="0"/>
          <w:color w:val="auto"/>
          <w:sz w:val="26"/>
          <w:szCs w:val="26"/>
          <w:lang w:eastAsia="en-US"/>
        </w:rPr>
      </w:pPr>
      <w:bookmarkStart w:id="143" w:name="_Toc448251238"/>
      <w:r w:rsidRPr="00CD1316">
        <w:rPr>
          <w:rFonts w:ascii="Arial" w:eastAsiaTheme="minorHAnsi" w:hAnsi="Arial" w:cs="Arial"/>
          <w:b w:val="0"/>
          <w:color w:val="auto"/>
          <w:sz w:val="26"/>
          <w:szCs w:val="26"/>
          <w:lang w:eastAsia="en-US"/>
        </w:rPr>
        <w:t>8.12.4.5. Информация о составе, структуре и стоимости (размере) залогового обеспечения облигаций, в состав которого входят денежные требования</w:t>
      </w:r>
      <w:bookmarkEnd w:id="143"/>
    </w:p>
    <w:p w:rsidR="00886DC8" w:rsidRDefault="00886DC8" w:rsidP="001D210C">
      <w:pPr>
        <w:widowControl/>
        <w:spacing w:before="0" w:after="0"/>
        <w:jc w:val="both"/>
        <w:rPr>
          <w:rFonts w:eastAsiaTheme="minorHAnsi"/>
          <w:lang w:eastAsia="en-US"/>
        </w:rPr>
      </w:pPr>
    </w:p>
    <w:p w:rsidR="00423112" w:rsidRPr="0053673F" w:rsidRDefault="00423112" w:rsidP="001D210C">
      <w:pPr>
        <w:pStyle w:val="Default"/>
        <w:jc w:val="both"/>
        <w:rPr>
          <w:rFonts w:ascii="Arial" w:hAnsi="Arial" w:cs="Arial"/>
          <w:b/>
          <w:bCs/>
          <w:i/>
          <w:iCs/>
          <w:color w:val="auto"/>
          <w:sz w:val="20"/>
          <w:szCs w:val="20"/>
        </w:rPr>
      </w:pPr>
      <w:r w:rsidRPr="0053673F">
        <w:rPr>
          <w:rFonts w:ascii="Arial" w:hAnsi="Arial" w:cs="Arial"/>
          <w:b/>
          <w:bCs/>
          <w:i/>
          <w:iCs/>
          <w:color w:val="auto"/>
          <w:sz w:val="20"/>
          <w:szCs w:val="20"/>
        </w:rPr>
        <w:t>Размещаемые Биржевые облигации не являются облигациями с залоговым обеспечением денежными требованиями.</w:t>
      </w:r>
    </w:p>
    <w:p w:rsidR="00423112" w:rsidRPr="00886DC8" w:rsidRDefault="00423112" w:rsidP="001D210C">
      <w:pPr>
        <w:widowControl/>
        <w:spacing w:before="0" w:after="0"/>
        <w:jc w:val="both"/>
        <w:rPr>
          <w:rFonts w:eastAsiaTheme="minorHAnsi"/>
          <w:lang w:eastAsia="en-US"/>
        </w:rPr>
      </w:pPr>
    </w:p>
    <w:p w:rsidR="00886DC8" w:rsidRPr="00CD1316" w:rsidRDefault="00886DC8" w:rsidP="001D210C">
      <w:pPr>
        <w:pStyle w:val="4"/>
        <w:jc w:val="both"/>
        <w:rPr>
          <w:rFonts w:ascii="Arial" w:eastAsiaTheme="minorHAnsi" w:hAnsi="Arial" w:cs="Arial"/>
          <w:b w:val="0"/>
          <w:color w:val="auto"/>
          <w:sz w:val="26"/>
          <w:szCs w:val="26"/>
          <w:lang w:eastAsia="en-US"/>
        </w:rPr>
      </w:pPr>
      <w:bookmarkStart w:id="144" w:name="_Toc448251239"/>
      <w:r w:rsidRPr="00CD1316">
        <w:rPr>
          <w:rFonts w:ascii="Arial" w:eastAsiaTheme="minorHAnsi" w:hAnsi="Arial" w:cs="Arial"/>
          <w:b w:val="0"/>
          <w:color w:val="auto"/>
          <w:sz w:val="26"/>
          <w:szCs w:val="26"/>
          <w:lang w:eastAsia="en-US"/>
        </w:rPr>
        <w:t>8.12.4.6. Информация о формах, способах принятия и объеме рисков, принимаемых первоначальными и (или) последующими кредиторами по обязательствам, денежные требования по которым составляют залоговое обеспечение</w:t>
      </w:r>
      <w:bookmarkEnd w:id="144"/>
    </w:p>
    <w:p w:rsidR="00423112" w:rsidRDefault="00423112" w:rsidP="001D210C">
      <w:pPr>
        <w:pStyle w:val="Default"/>
        <w:jc w:val="both"/>
        <w:rPr>
          <w:rFonts w:ascii="Arial" w:hAnsi="Arial" w:cs="Arial"/>
          <w:b/>
          <w:bCs/>
          <w:i/>
          <w:iCs/>
          <w:color w:val="auto"/>
          <w:sz w:val="20"/>
          <w:szCs w:val="20"/>
        </w:rPr>
      </w:pPr>
    </w:p>
    <w:p w:rsidR="00423112" w:rsidRPr="0053673F" w:rsidRDefault="00423112" w:rsidP="001D210C">
      <w:pPr>
        <w:pStyle w:val="Default"/>
        <w:jc w:val="both"/>
        <w:rPr>
          <w:rFonts w:ascii="Arial" w:hAnsi="Arial" w:cs="Arial"/>
          <w:b/>
          <w:bCs/>
          <w:i/>
          <w:iCs/>
          <w:color w:val="auto"/>
          <w:sz w:val="20"/>
          <w:szCs w:val="20"/>
        </w:rPr>
      </w:pPr>
      <w:r w:rsidRPr="0053673F">
        <w:rPr>
          <w:rFonts w:ascii="Arial" w:hAnsi="Arial" w:cs="Arial"/>
          <w:b/>
          <w:bCs/>
          <w:i/>
          <w:iCs/>
          <w:color w:val="auto"/>
          <w:sz w:val="20"/>
          <w:szCs w:val="20"/>
        </w:rPr>
        <w:t>Размещаемые Биржевые облигации не являются облигациями с залоговым обеспечением денежными требованиями.</w:t>
      </w:r>
    </w:p>
    <w:p w:rsidR="00886DC8" w:rsidRPr="00886DC8" w:rsidRDefault="00886DC8" w:rsidP="001D210C">
      <w:pPr>
        <w:widowControl/>
        <w:spacing w:before="0" w:after="0"/>
        <w:jc w:val="both"/>
        <w:rPr>
          <w:rFonts w:eastAsiaTheme="minorHAnsi"/>
          <w:lang w:eastAsia="en-US"/>
        </w:rPr>
      </w:pPr>
    </w:p>
    <w:p w:rsidR="00886DC8" w:rsidRPr="00CD1316" w:rsidRDefault="00886DC8" w:rsidP="001D210C">
      <w:pPr>
        <w:widowControl/>
        <w:spacing w:before="0" w:after="0"/>
        <w:ind w:firstLine="540"/>
        <w:jc w:val="both"/>
        <w:outlineLvl w:val="1"/>
        <w:rPr>
          <w:rFonts w:ascii="Arial" w:eastAsiaTheme="minorHAnsi" w:hAnsi="Arial" w:cs="Arial"/>
          <w:b/>
          <w:i/>
          <w:sz w:val="28"/>
          <w:szCs w:val="28"/>
          <w:lang w:eastAsia="en-US"/>
        </w:rPr>
      </w:pPr>
      <w:bookmarkStart w:id="145" w:name="_Toc448251240"/>
      <w:r w:rsidRPr="00CD1316">
        <w:rPr>
          <w:rFonts w:ascii="Arial" w:eastAsiaTheme="minorHAnsi" w:hAnsi="Arial" w:cs="Arial"/>
          <w:b/>
          <w:i/>
          <w:sz w:val="28"/>
          <w:szCs w:val="28"/>
          <w:lang w:eastAsia="en-US"/>
        </w:rPr>
        <w:t>8.13. Сведения о представителе владельцев облигаций</w:t>
      </w:r>
      <w:bookmarkEnd w:id="145"/>
    </w:p>
    <w:p w:rsidR="00B33C76" w:rsidRDefault="00B33C76" w:rsidP="001D210C">
      <w:pPr>
        <w:ind w:firstLine="539"/>
        <w:jc w:val="both"/>
        <w:rPr>
          <w:b/>
          <w:bCs/>
          <w:i/>
          <w:iCs/>
        </w:rPr>
      </w:pPr>
    </w:p>
    <w:p w:rsidR="00A936D6" w:rsidRDefault="00A936D6" w:rsidP="00A936D6">
      <w:pPr>
        <w:pStyle w:val="Default"/>
        <w:ind w:firstLine="567"/>
        <w:jc w:val="both"/>
        <w:rPr>
          <w:rFonts w:ascii="Arial" w:hAnsi="Arial" w:cs="Arial"/>
          <w:b/>
          <w:bCs/>
          <w:i/>
          <w:iCs/>
          <w:color w:val="auto"/>
          <w:sz w:val="20"/>
          <w:szCs w:val="20"/>
        </w:rPr>
      </w:pPr>
      <w:r w:rsidRPr="00A936D6">
        <w:rPr>
          <w:rFonts w:ascii="Arial" w:hAnsi="Arial" w:cs="Arial"/>
          <w:b/>
          <w:bCs/>
          <w:i/>
          <w:iCs/>
          <w:color w:val="auto"/>
          <w:sz w:val="20"/>
          <w:szCs w:val="20"/>
        </w:rPr>
        <w:t xml:space="preserve">Эмитентом на дату утверждения Программы биржевых облигаций не определен представитель владельцев Биржевых облигаций. </w:t>
      </w:r>
    </w:p>
    <w:p w:rsidR="00A936D6" w:rsidRPr="00A936D6" w:rsidRDefault="00A936D6" w:rsidP="00A936D6">
      <w:pPr>
        <w:pStyle w:val="Default"/>
        <w:ind w:firstLine="567"/>
        <w:jc w:val="both"/>
        <w:rPr>
          <w:rFonts w:ascii="Arial" w:hAnsi="Arial" w:cs="Arial"/>
          <w:color w:val="auto"/>
          <w:sz w:val="20"/>
          <w:szCs w:val="20"/>
        </w:rPr>
      </w:pPr>
      <w:r w:rsidRPr="00A936D6">
        <w:rPr>
          <w:rFonts w:ascii="Arial" w:hAnsi="Arial" w:cs="Arial"/>
          <w:b/>
          <w:bCs/>
          <w:i/>
          <w:iCs/>
          <w:color w:val="auto"/>
          <w:sz w:val="20"/>
          <w:szCs w:val="20"/>
          <w:u w:val="single"/>
        </w:rPr>
        <w:t>Сведения о представителе владельцев Биржевых облигаций (в случае его назначения) будут указаны в соответствующих Условиях выпуска.</w:t>
      </w:r>
      <w:r w:rsidRPr="00A936D6">
        <w:rPr>
          <w:rFonts w:ascii="Arial" w:hAnsi="Arial" w:cs="Arial"/>
          <w:b/>
          <w:bCs/>
          <w:i/>
          <w:iCs/>
          <w:color w:val="auto"/>
          <w:sz w:val="20"/>
          <w:szCs w:val="20"/>
        </w:rPr>
        <w:t xml:space="preserve"> </w:t>
      </w:r>
    </w:p>
    <w:p w:rsidR="00886DC8" w:rsidRPr="00886DC8" w:rsidRDefault="00886DC8" w:rsidP="001D210C">
      <w:pPr>
        <w:widowControl/>
        <w:spacing w:before="0" w:after="0"/>
        <w:jc w:val="both"/>
        <w:rPr>
          <w:rFonts w:eastAsiaTheme="minorHAnsi"/>
          <w:lang w:eastAsia="en-US"/>
        </w:rPr>
      </w:pPr>
    </w:p>
    <w:p w:rsidR="00886DC8" w:rsidRPr="00CD1316" w:rsidRDefault="00886DC8" w:rsidP="001D210C">
      <w:pPr>
        <w:widowControl/>
        <w:spacing w:before="0" w:after="0"/>
        <w:ind w:firstLine="540"/>
        <w:jc w:val="both"/>
        <w:outlineLvl w:val="1"/>
        <w:rPr>
          <w:rFonts w:ascii="Arial" w:eastAsiaTheme="minorHAnsi" w:hAnsi="Arial" w:cs="Arial"/>
          <w:b/>
          <w:i/>
          <w:sz w:val="28"/>
          <w:szCs w:val="28"/>
          <w:lang w:eastAsia="en-US"/>
        </w:rPr>
      </w:pPr>
      <w:bookmarkStart w:id="146" w:name="_Toc448251241"/>
      <w:r w:rsidRPr="00CD1316">
        <w:rPr>
          <w:rFonts w:ascii="Arial" w:eastAsiaTheme="minorHAnsi" w:hAnsi="Arial" w:cs="Arial"/>
          <w:b/>
          <w:i/>
          <w:sz w:val="28"/>
          <w:szCs w:val="28"/>
          <w:lang w:eastAsia="en-US"/>
        </w:rPr>
        <w:t>8.14. Сведения об отнесении приобретения облигаций к категории инвестиций с повышенным риском</w:t>
      </w:r>
      <w:bookmarkEnd w:id="146"/>
    </w:p>
    <w:p w:rsidR="006127E0" w:rsidRDefault="006127E0" w:rsidP="001D210C">
      <w:pPr>
        <w:widowControl/>
        <w:spacing w:before="0" w:after="0"/>
        <w:ind w:firstLine="540"/>
        <w:jc w:val="both"/>
        <w:rPr>
          <w:rFonts w:eastAsiaTheme="minorHAnsi"/>
          <w:lang w:eastAsia="en-US"/>
        </w:rPr>
      </w:pPr>
    </w:p>
    <w:p w:rsidR="00424B59" w:rsidRPr="00424B59" w:rsidRDefault="00424B59" w:rsidP="00424B59">
      <w:pPr>
        <w:pStyle w:val="Default"/>
        <w:ind w:firstLine="567"/>
        <w:jc w:val="both"/>
        <w:rPr>
          <w:rFonts w:ascii="Arial" w:hAnsi="Arial" w:cs="Arial"/>
          <w:b/>
          <w:bCs/>
          <w:i/>
          <w:iCs/>
          <w:color w:val="auto"/>
          <w:sz w:val="20"/>
          <w:szCs w:val="20"/>
        </w:rPr>
      </w:pPr>
      <w:r w:rsidRPr="00424B59">
        <w:rPr>
          <w:rFonts w:ascii="Arial" w:hAnsi="Arial" w:cs="Arial"/>
          <w:b/>
          <w:bCs/>
          <w:i/>
          <w:iCs/>
          <w:color w:val="auto"/>
          <w:sz w:val="20"/>
          <w:szCs w:val="20"/>
        </w:rPr>
        <w:t xml:space="preserve">В связи с вступление в силу изменений, внесенных </w:t>
      </w:r>
      <w:hyperlink r:id="rId21" w:history="1">
        <w:r w:rsidRPr="00424B59">
          <w:rPr>
            <w:rFonts w:ascii="Arial" w:hAnsi="Arial" w:cs="Arial"/>
            <w:b/>
            <w:bCs/>
            <w:i/>
            <w:iCs/>
            <w:color w:val="auto"/>
            <w:sz w:val="20"/>
            <w:szCs w:val="20"/>
          </w:rPr>
          <w:t>Указанием</w:t>
        </w:r>
      </w:hyperlink>
      <w:r w:rsidRPr="00424B59">
        <w:rPr>
          <w:rFonts w:ascii="Arial" w:hAnsi="Arial" w:cs="Arial"/>
          <w:b/>
          <w:bCs/>
          <w:i/>
          <w:iCs/>
          <w:color w:val="auto"/>
          <w:sz w:val="20"/>
          <w:szCs w:val="20"/>
        </w:rPr>
        <w:t xml:space="preserve"> Банка России от 16.12.2015 N 3899-У, </w:t>
      </w:r>
      <w:r w:rsidR="00CF2521">
        <w:rPr>
          <w:rFonts w:ascii="Arial" w:hAnsi="Arial" w:cs="Arial"/>
          <w:b/>
          <w:bCs/>
          <w:i/>
          <w:iCs/>
          <w:color w:val="auto"/>
          <w:sz w:val="20"/>
          <w:szCs w:val="20"/>
        </w:rPr>
        <w:t xml:space="preserve">требование о предоставлении </w:t>
      </w:r>
      <w:r>
        <w:rPr>
          <w:rFonts w:ascii="Arial" w:hAnsi="Arial" w:cs="Arial"/>
          <w:b/>
          <w:bCs/>
          <w:i/>
          <w:iCs/>
          <w:color w:val="auto"/>
          <w:sz w:val="20"/>
          <w:szCs w:val="20"/>
        </w:rPr>
        <w:t>сведени</w:t>
      </w:r>
      <w:r w:rsidR="00CF2521">
        <w:rPr>
          <w:rFonts w:ascii="Arial" w:hAnsi="Arial" w:cs="Arial"/>
          <w:b/>
          <w:bCs/>
          <w:i/>
          <w:iCs/>
          <w:color w:val="auto"/>
          <w:sz w:val="20"/>
          <w:szCs w:val="20"/>
        </w:rPr>
        <w:t>й</w:t>
      </w:r>
      <w:r>
        <w:rPr>
          <w:rFonts w:ascii="Arial" w:hAnsi="Arial" w:cs="Arial"/>
          <w:b/>
          <w:bCs/>
          <w:i/>
          <w:iCs/>
          <w:color w:val="auto"/>
          <w:sz w:val="20"/>
          <w:szCs w:val="20"/>
        </w:rPr>
        <w:t xml:space="preserve"> об отнесении облигаций к категории инвестиций с повышенным риском, исключен</w:t>
      </w:r>
      <w:r w:rsidR="00CF2521">
        <w:rPr>
          <w:rFonts w:ascii="Arial" w:hAnsi="Arial" w:cs="Arial"/>
          <w:b/>
          <w:bCs/>
          <w:i/>
          <w:iCs/>
          <w:color w:val="auto"/>
          <w:sz w:val="20"/>
          <w:szCs w:val="20"/>
        </w:rPr>
        <w:t>о</w:t>
      </w:r>
      <w:r>
        <w:rPr>
          <w:rFonts w:ascii="Arial" w:hAnsi="Arial" w:cs="Arial"/>
          <w:b/>
          <w:bCs/>
          <w:i/>
          <w:iCs/>
          <w:color w:val="auto"/>
          <w:sz w:val="20"/>
          <w:szCs w:val="20"/>
        </w:rPr>
        <w:t>. В связи с чем, информация не приводится.</w:t>
      </w:r>
    </w:p>
    <w:p w:rsidR="00886DC8" w:rsidRDefault="00886DC8" w:rsidP="001D210C">
      <w:pPr>
        <w:widowControl/>
        <w:spacing w:before="0" w:after="0"/>
        <w:jc w:val="both"/>
        <w:rPr>
          <w:rFonts w:eastAsiaTheme="minorHAnsi"/>
          <w:lang w:eastAsia="en-US"/>
        </w:rPr>
      </w:pPr>
    </w:p>
    <w:p w:rsidR="00886DC8" w:rsidRPr="00CD1316" w:rsidRDefault="00886DC8" w:rsidP="001D210C">
      <w:pPr>
        <w:widowControl/>
        <w:spacing w:before="0" w:after="0"/>
        <w:ind w:firstLine="540"/>
        <w:jc w:val="both"/>
        <w:outlineLvl w:val="1"/>
        <w:rPr>
          <w:rFonts w:ascii="Arial" w:eastAsiaTheme="minorHAnsi" w:hAnsi="Arial" w:cs="Arial"/>
          <w:b/>
          <w:i/>
          <w:sz w:val="28"/>
          <w:szCs w:val="28"/>
          <w:lang w:eastAsia="en-US"/>
        </w:rPr>
      </w:pPr>
      <w:bookmarkStart w:id="147" w:name="_Toc448251242"/>
      <w:r w:rsidRPr="00CD1316">
        <w:rPr>
          <w:rFonts w:ascii="Arial" w:eastAsiaTheme="minorHAnsi" w:hAnsi="Arial" w:cs="Arial"/>
          <w:b/>
          <w:i/>
          <w:sz w:val="28"/>
          <w:szCs w:val="28"/>
          <w:lang w:eastAsia="en-US"/>
        </w:rPr>
        <w:t>8.15. Дополнительные сведения о размещаемых российских депозитарных расписках</w:t>
      </w:r>
      <w:bookmarkEnd w:id="147"/>
    </w:p>
    <w:p w:rsidR="00886DC8" w:rsidRPr="00886DC8" w:rsidRDefault="00886DC8" w:rsidP="001D210C">
      <w:pPr>
        <w:widowControl/>
        <w:spacing w:before="0" w:after="0"/>
        <w:jc w:val="both"/>
        <w:rPr>
          <w:rFonts w:eastAsiaTheme="minorHAnsi"/>
          <w:lang w:eastAsia="en-US"/>
        </w:rPr>
      </w:pPr>
    </w:p>
    <w:p w:rsidR="00886DC8" w:rsidRPr="00CD1316" w:rsidRDefault="00886DC8" w:rsidP="001D210C">
      <w:pPr>
        <w:widowControl/>
        <w:spacing w:before="0" w:after="0"/>
        <w:ind w:firstLine="540"/>
        <w:jc w:val="both"/>
        <w:outlineLvl w:val="2"/>
        <w:rPr>
          <w:rFonts w:ascii="Arial" w:eastAsiaTheme="minorHAnsi" w:hAnsi="Arial" w:cs="Arial"/>
          <w:b/>
          <w:sz w:val="26"/>
          <w:szCs w:val="26"/>
          <w:lang w:eastAsia="en-US"/>
        </w:rPr>
      </w:pPr>
      <w:bookmarkStart w:id="148" w:name="_Toc448251243"/>
      <w:r w:rsidRPr="00CD1316">
        <w:rPr>
          <w:rFonts w:ascii="Arial" w:eastAsiaTheme="minorHAnsi" w:hAnsi="Arial" w:cs="Arial"/>
          <w:b/>
          <w:sz w:val="26"/>
          <w:szCs w:val="26"/>
          <w:lang w:eastAsia="en-US"/>
        </w:rPr>
        <w:t>8.15.1. Дополнительные сведения о представляемых ценных бумагах, право собственности на которые удостоверяется российскими депозитарными расписками</w:t>
      </w:r>
      <w:bookmarkEnd w:id="148"/>
    </w:p>
    <w:p w:rsidR="006D64C4" w:rsidRDefault="006D64C4" w:rsidP="001D210C">
      <w:pPr>
        <w:pStyle w:val="Default"/>
        <w:jc w:val="both"/>
        <w:rPr>
          <w:rFonts w:ascii="Arial" w:hAnsi="Arial" w:cs="Arial"/>
          <w:b/>
          <w:bCs/>
          <w:i/>
          <w:iCs/>
          <w:color w:val="auto"/>
          <w:sz w:val="20"/>
          <w:szCs w:val="20"/>
        </w:rPr>
      </w:pPr>
    </w:p>
    <w:p w:rsidR="006D64C4" w:rsidRPr="006D64C4" w:rsidRDefault="006D64C4" w:rsidP="002B1236">
      <w:pPr>
        <w:pStyle w:val="Default"/>
        <w:ind w:firstLine="567"/>
        <w:jc w:val="both"/>
        <w:rPr>
          <w:rFonts w:ascii="Arial" w:hAnsi="Arial" w:cs="Arial"/>
          <w:b/>
          <w:bCs/>
          <w:i/>
          <w:iCs/>
          <w:color w:val="auto"/>
          <w:sz w:val="20"/>
          <w:szCs w:val="20"/>
        </w:rPr>
      </w:pPr>
      <w:r w:rsidRPr="006D64C4">
        <w:rPr>
          <w:rFonts w:ascii="Arial" w:hAnsi="Arial" w:cs="Arial"/>
          <w:b/>
          <w:bCs/>
          <w:i/>
          <w:iCs/>
          <w:color w:val="auto"/>
          <w:sz w:val="20"/>
          <w:szCs w:val="20"/>
        </w:rPr>
        <w:t>Российские депозитарные расписки не размещаются.</w:t>
      </w:r>
    </w:p>
    <w:p w:rsidR="00886DC8" w:rsidRPr="00886DC8" w:rsidRDefault="00886DC8" w:rsidP="00886DC8">
      <w:pPr>
        <w:widowControl/>
        <w:spacing w:before="0" w:after="0"/>
        <w:jc w:val="both"/>
        <w:rPr>
          <w:rFonts w:eastAsiaTheme="minorHAnsi"/>
          <w:lang w:eastAsia="en-US"/>
        </w:rPr>
      </w:pPr>
    </w:p>
    <w:p w:rsidR="00886DC8" w:rsidRPr="00CD1316" w:rsidRDefault="00886DC8" w:rsidP="00886DC8">
      <w:pPr>
        <w:widowControl/>
        <w:spacing w:before="0" w:after="0"/>
        <w:ind w:firstLine="540"/>
        <w:jc w:val="both"/>
        <w:outlineLvl w:val="2"/>
        <w:rPr>
          <w:rFonts w:ascii="Arial" w:eastAsiaTheme="minorHAnsi" w:hAnsi="Arial" w:cs="Arial"/>
          <w:b/>
          <w:sz w:val="26"/>
          <w:szCs w:val="26"/>
          <w:lang w:eastAsia="en-US"/>
        </w:rPr>
      </w:pPr>
      <w:bookmarkStart w:id="149" w:name="_Toc448251244"/>
      <w:r w:rsidRPr="00CD1316">
        <w:rPr>
          <w:rFonts w:ascii="Arial" w:eastAsiaTheme="minorHAnsi" w:hAnsi="Arial" w:cs="Arial"/>
          <w:b/>
          <w:sz w:val="26"/>
          <w:szCs w:val="26"/>
          <w:lang w:eastAsia="en-US"/>
        </w:rPr>
        <w:t>8.15.2. Сведения об эмитенте представляемых ценных бумаг, право собственности на которые удостоверяется российскими депозитарными расписками</w:t>
      </w:r>
      <w:bookmarkEnd w:id="149"/>
    </w:p>
    <w:p w:rsidR="00886DC8" w:rsidRDefault="00886DC8" w:rsidP="00886DC8">
      <w:pPr>
        <w:widowControl/>
        <w:spacing w:before="0" w:after="0"/>
        <w:jc w:val="both"/>
        <w:rPr>
          <w:rFonts w:eastAsiaTheme="minorHAnsi"/>
          <w:lang w:eastAsia="en-US"/>
        </w:rPr>
      </w:pPr>
    </w:p>
    <w:p w:rsidR="00FA6BE4" w:rsidRPr="006D64C4" w:rsidRDefault="00FA6BE4" w:rsidP="002B1236">
      <w:pPr>
        <w:pStyle w:val="Default"/>
        <w:ind w:firstLine="567"/>
        <w:jc w:val="both"/>
        <w:rPr>
          <w:rFonts w:ascii="Arial" w:hAnsi="Arial" w:cs="Arial"/>
          <w:b/>
          <w:bCs/>
          <w:i/>
          <w:iCs/>
          <w:color w:val="auto"/>
          <w:sz w:val="20"/>
          <w:szCs w:val="20"/>
        </w:rPr>
      </w:pPr>
      <w:r w:rsidRPr="006D64C4">
        <w:rPr>
          <w:rFonts w:ascii="Arial" w:hAnsi="Arial" w:cs="Arial"/>
          <w:b/>
          <w:bCs/>
          <w:i/>
          <w:iCs/>
          <w:color w:val="auto"/>
          <w:sz w:val="20"/>
          <w:szCs w:val="20"/>
        </w:rPr>
        <w:t>Российские депозитарные расписки не размещаются.</w:t>
      </w:r>
    </w:p>
    <w:p w:rsidR="00FA6BE4" w:rsidRPr="00886DC8" w:rsidRDefault="00FA6BE4" w:rsidP="00886DC8">
      <w:pPr>
        <w:widowControl/>
        <w:spacing w:before="0" w:after="0"/>
        <w:jc w:val="both"/>
        <w:rPr>
          <w:rFonts w:eastAsiaTheme="minorHAnsi"/>
          <w:lang w:eastAsia="en-US"/>
        </w:rPr>
      </w:pPr>
    </w:p>
    <w:p w:rsidR="00886DC8" w:rsidRPr="00CD1316" w:rsidRDefault="00886DC8" w:rsidP="00886DC8">
      <w:pPr>
        <w:widowControl/>
        <w:spacing w:before="0" w:after="0"/>
        <w:ind w:firstLine="540"/>
        <w:jc w:val="both"/>
        <w:outlineLvl w:val="1"/>
        <w:rPr>
          <w:rFonts w:ascii="Arial" w:eastAsiaTheme="minorHAnsi" w:hAnsi="Arial" w:cs="Arial"/>
          <w:b/>
          <w:i/>
          <w:sz w:val="28"/>
          <w:szCs w:val="28"/>
          <w:lang w:eastAsia="en-US"/>
        </w:rPr>
      </w:pPr>
      <w:bookmarkStart w:id="150" w:name="_Toc448251245"/>
      <w:r w:rsidRPr="00CD1316">
        <w:rPr>
          <w:rFonts w:ascii="Arial" w:eastAsiaTheme="minorHAnsi" w:hAnsi="Arial" w:cs="Arial"/>
          <w:b/>
          <w:i/>
          <w:sz w:val="28"/>
          <w:szCs w:val="28"/>
          <w:lang w:eastAsia="en-US"/>
        </w:rPr>
        <w:t>8.16. Наличие ограничений на приобретение и обращение размещаемых эмиссионных ценных бумаг</w:t>
      </w:r>
      <w:bookmarkEnd w:id="150"/>
    </w:p>
    <w:p w:rsidR="007476AF" w:rsidRDefault="007476AF" w:rsidP="00886DC8">
      <w:pPr>
        <w:widowControl/>
        <w:spacing w:before="0" w:after="0"/>
        <w:ind w:firstLine="540"/>
        <w:jc w:val="both"/>
        <w:rPr>
          <w:rFonts w:eastAsiaTheme="minorHAnsi"/>
          <w:lang w:eastAsia="en-US"/>
        </w:rPr>
      </w:pPr>
    </w:p>
    <w:p w:rsidR="00886DC8" w:rsidRDefault="00886DC8" w:rsidP="00886DC8">
      <w:pPr>
        <w:widowControl/>
        <w:spacing w:before="0" w:after="0"/>
        <w:ind w:firstLine="540"/>
        <w:jc w:val="both"/>
        <w:rPr>
          <w:rFonts w:eastAsiaTheme="minorHAnsi"/>
          <w:lang w:eastAsia="en-US"/>
        </w:rPr>
      </w:pPr>
      <w:r w:rsidRPr="00886DC8">
        <w:rPr>
          <w:rFonts w:eastAsiaTheme="minorHAnsi"/>
          <w:lang w:eastAsia="en-US"/>
        </w:rPr>
        <w:t>Указываются ограничения на приобретение и обращение размещаемых ценных бумаг, установленные в соответствии с законодательством Российской Федерации.</w:t>
      </w:r>
    </w:p>
    <w:p w:rsidR="007476AF" w:rsidRPr="007476AF" w:rsidRDefault="007476AF" w:rsidP="007476AF">
      <w:pPr>
        <w:ind w:firstLine="540"/>
        <w:jc w:val="both"/>
        <w:rPr>
          <w:rFonts w:ascii="Arial" w:hAnsi="Arial" w:cs="Arial"/>
          <w:b/>
          <w:bCs/>
          <w:i/>
          <w:iCs/>
        </w:rPr>
      </w:pPr>
      <w:bookmarkStart w:id="151" w:name="_Toc341209466"/>
      <w:bookmarkStart w:id="152" w:name="_Toc338421991"/>
      <w:bookmarkStart w:id="153" w:name="_Toc323154699"/>
      <w:bookmarkStart w:id="154" w:name="_Toc322343288"/>
      <w:bookmarkStart w:id="155" w:name="_Toc320298077"/>
      <w:bookmarkStart w:id="156" w:name="_Toc317657495"/>
      <w:bookmarkStart w:id="157" w:name="_Toc315706934"/>
      <w:r w:rsidRPr="007476AF">
        <w:rPr>
          <w:rFonts w:ascii="Arial" w:hAnsi="Arial" w:cs="Arial"/>
          <w:b/>
          <w:i/>
        </w:rPr>
        <w:t xml:space="preserve">а) </w:t>
      </w:r>
      <w:r w:rsidRPr="007476AF">
        <w:rPr>
          <w:rFonts w:ascii="Arial" w:hAnsi="Arial" w:cs="Arial"/>
          <w:b/>
          <w:bCs/>
          <w:i/>
          <w:iCs/>
        </w:rPr>
        <w:t>Совершение сделок, влекущих за собой переход прав собственности на эмиссионные ценные бумаги (обращение эмиссионных ценных бумаг), допускается после государственной регистрации их выпуска (дополнительного выпуска) или присвоения их выпуску (дополнительному выпуску) идентификационного номера.</w:t>
      </w:r>
    </w:p>
    <w:p w:rsidR="007476AF" w:rsidRPr="007476AF" w:rsidRDefault="007476AF" w:rsidP="007476AF">
      <w:pPr>
        <w:ind w:firstLine="540"/>
        <w:jc w:val="both"/>
        <w:rPr>
          <w:rFonts w:ascii="Arial" w:hAnsi="Arial" w:cs="Arial"/>
          <w:b/>
          <w:bCs/>
          <w:i/>
          <w:iCs/>
        </w:rPr>
      </w:pPr>
      <w:r w:rsidRPr="007476AF">
        <w:rPr>
          <w:rFonts w:ascii="Arial" w:hAnsi="Arial" w:cs="Arial"/>
          <w:b/>
          <w:bCs/>
          <w:i/>
          <w:iCs/>
        </w:rPr>
        <w:t>Переход прав собственности на эмиссионные ценные бумаги запрещается до их полной оплаты, а в случае, если процедура эмиссии ценных бумаг предусматривает государственную регистрацию отчета об итогах их выпуска (дополнительного выпуска), - также до государственной регистрации указанного отчета.</w:t>
      </w:r>
      <w:bookmarkEnd w:id="151"/>
      <w:bookmarkEnd w:id="152"/>
      <w:bookmarkEnd w:id="153"/>
      <w:bookmarkEnd w:id="154"/>
      <w:bookmarkEnd w:id="155"/>
      <w:bookmarkEnd w:id="156"/>
      <w:bookmarkEnd w:id="157"/>
    </w:p>
    <w:p w:rsidR="007476AF" w:rsidRPr="007476AF" w:rsidRDefault="007476AF" w:rsidP="007476AF">
      <w:pPr>
        <w:ind w:firstLine="540"/>
        <w:jc w:val="both"/>
        <w:rPr>
          <w:rFonts w:ascii="Arial" w:hAnsi="Arial" w:cs="Arial"/>
          <w:b/>
          <w:bCs/>
          <w:i/>
          <w:iCs/>
        </w:rPr>
      </w:pPr>
      <w:bookmarkStart w:id="158" w:name="_Toc341209467"/>
      <w:bookmarkStart w:id="159" w:name="_Toc338421992"/>
      <w:bookmarkStart w:id="160" w:name="_Toc323154700"/>
      <w:bookmarkStart w:id="161" w:name="_Toc322343289"/>
      <w:bookmarkStart w:id="162" w:name="_Toc320298078"/>
      <w:bookmarkStart w:id="163" w:name="_Toc317657496"/>
      <w:bookmarkStart w:id="164" w:name="_Toc315706935"/>
      <w:r w:rsidRPr="007476AF">
        <w:rPr>
          <w:rFonts w:ascii="Arial" w:hAnsi="Arial" w:cs="Arial"/>
          <w:b/>
          <w:i/>
        </w:rPr>
        <w:t xml:space="preserve">б) </w:t>
      </w:r>
      <w:r w:rsidRPr="007476AF">
        <w:rPr>
          <w:rFonts w:ascii="Arial" w:hAnsi="Arial" w:cs="Arial"/>
          <w:b/>
          <w:bCs/>
          <w:i/>
          <w:iCs/>
        </w:rPr>
        <w:t>Публичное обращение эмиссионных ценных бумаг, в том числе их предложение неограниченному кругу лиц (включая использование рекламы), допускается при одновременном соблюдении следующих условий:</w:t>
      </w:r>
    </w:p>
    <w:p w:rsidR="007476AF" w:rsidRPr="007476AF" w:rsidRDefault="007476AF" w:rsidP="007476AF">
      <w:pPr>
        <w:ind w:firstLine="540"/>
        <w:jc w:val="both"/>
        <w:rPr>
          <w:rFonts w:ascii="Arial" w:hAnsi="Arial" w:cs="Arial"/>
          <w:b/>
          <w:bCs/>
          <w:i/>
          <w:iCs/>
        </w:rPr>
      </w:pPr>
      <w:r w:rsidRPr="007476AF">
        <w:rPr>
          <w:rFonts w:ascii="Arial" w:hAnsi="Arial" w:cs="Arial"/>
          <w:b/>
          <w:bCs/>
          <w:i/>
          <w:iCs/>
        </w:rPr>
        <w:t>1) регистрация проспекта ценных бумаг (допуск биржевых облигаций или российских депозитарных расписок к организованным торгам с представлением бирже проспекта указанных ценных бумаг) или допуск эмиссионных ценных бумаг к организованным торгам без их включения в котировальные списки;</w:t>
      </w:r>
    </w:p>
    <w:p w:rsidR="007476AF" w:rsidRPr="007476AF" w:rsidRDefault="007476AF" w:rsidP="007476AF">
      <w:pPr>
        <w:ind w:firstLine="540"/>
        <w:jc w:val="both"/>
        <w:rPr>
          <w:rFonts w:ascii="Arial" w:hAnsi="Arial" w:cs="Arial"/>
          <w:b/>
          <w:bCs/>
          <w:i/>
          <w:iCs/>
        </w:rPr>
      </w:pPr>
      <w:r w:rsidRPr="007476AF">
        <w:rPr>
          <w:rFonts w:ascii="Arial" w:hAnsi="Arial" w:cs="Arial"/>
          <w:b/>
          <w:bCs/>
          <w:i/>
          <w:iCs/>
        </w:rPr>
        <w:t xml:space="preserve">2) раскрытие </w:t>
      </w:r>
      <w:r w:rsidR="00AF76C5">
        <w:rPr>
          <w:rFonts w:ascii="Arial" w:hAnsi="Arial" w:cs="Arial"/>
          <w:b/>
          <w:bCs/>
          <w:i/>
          <w:iCs/>
        </w:rPr>
        <w:t>Э</w:t>
      </w:r>
      <w:r w:rsidR="00AF76C5" w:rsidRPr="007476AF">
        <w:rPr>
          <w:rFonts w:ascii="Arial" w:hAnsi="Arial" w:cs="Arial"/>
          <w:b/>
          <w:bCs/>
          <w:i/>
          <w:iCs/>
        </w:rPr>
        <w:t xml:space="preserve">митентом </w:t>
      </w:r>
      <w:r w:rsidRPr="007476AF">
        <w:rPr>
          <w:rFonts w:ascii="Arial" w:hAnsi="Arial" w:cs="Arial"/>
          <w:b/>
          <w:bCs/>
          <w:i/>
          <w:iCs/>
        </w:rPr>
        <w:t xml:space="preserve">информации в соответствии с требованиями </w:t>
      </w:r>
      <w:r w:rsidRPr="007476AF">
        <w:rPr>
          <w:rFonts w:ascii="Arial" w:hAnsi="Arial" w:cs="Arial"/>
          <w:b/>
          <w:i/>
        </w:rPr>
        <w:t>Федерального закона «О рынке ценных бумаг»</w:t>
      </w:r>
      <w:r w:rsidRPr="007476AF">
        <w:rPr>
          <w:rFonts w:ascii="Arial" w:hAnsi="Arial" w:cs="Arial"/>
          <w:b/>
          <w:bCs/>
          <w:i/>
          <w:iCs/>
        </w:rPr>
        <w:t>, а в случае допуска к организованным торгам эмиссионных ценных бумаг, в отношении которых не осуществлена регистрация проспекта ценных бумаг, - в соответствии с требованиями организатора торговли.</w:t>
      </w:r>
    </w:p>
    <w:p w:rsidR="007476AF" w:rsidRPr="007476AF" w:rsidRDefault="007476AF" w:rsidP="00474B15">
      <w:pPr>
        <w:ind w:firstLine="567"/>
        <w:jc w:val="both"/>
        <w:rPr>
          <w:rFonts w:ascii="Arial" w:hAnsi="Arial" w:cs="Arial"/>
          <w:b/>
          <w:i/>
        </w:rPr>
      </w:pPr>
      <w:bookmarkStart w:id="165" w:name="_Toc375249356"/>
      <w:bookmarkStart w:id="166" w:name="_Toc364882689"/>
      <w:bookmarkStart w:id="167" w:name="_Toc341209470"/>
      <w:bookmarkStart w:id="168" w:name="_Toc338421995"/>
      <w:bookmarkStart w:id="169" w:name="_Toc323154703"/>
      <w:bookmarkStart w:id="170" w:name="_Toc322343292"/>
      <w:bookmarkStart w:id="171" w:name="_Toc320298081"/>
      <w:bookmarkStart w:id="172" w:name="_Toc317657499"/>
      <w:bookmarkStart w:id="173" w:name="_Toc315706938"/>
      <w:bookmarkStart w:id="174" w:name="_Toc410239644"/>
      <w:bookmarkStart w:id="175" w:name="_Toc410830181"/>
      <w:bookmarkStart w:id="176" w:name="_Toc411615628"/>
      <w:bookmarkStart w:id="177" w:name="_Toc414612385"/>
      <w:bookmarkStart w:id="178" w:name="_Toc433968124"/>
      <w:bookmarkStart w:id="179" w:name="_Toc442784755"/>
      <w:bookmarkEnd w:id="158"/>
      <w:bookmarkEnd w:id="159"/>
      <w:bookmarkEnd w:id="160"/>
      <w:bookmarkEnd w:id="161"/>
      <w:bookmarkEnd w:id="162"/>
      <w:bookmarkEnd w:id="163"/>
      <w:bookmarkEnd w:id="164"/>
      <w:r w:rsidRPr="007476AF">
        <w:rPr>
          <w:rFonts w:ascii="Arial" w:hAnsi="Arial" w:cs="Arial"/>
          <w:b/>
          <w:i/>
        </w:rPr>
        <w:t>в) запрещается публичное обращение, реклама и предложение в любой иной форме неограниченному кругу лиц ценных бумаг, публичное обращение которых запрещено или не предусмотрено федеральными законами и иными нормативными правовыми актами Российской Федерации.</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p w:rsidR="007476AF" w:rsidRPr="00886DC8" w:rsidRDefault="007476AF" w:rsidP="00886DC8">
      <w:pPr>
        <w:widowControl/>
        <w:spacing w:before="0" w:after="0"/>
        <w:ind w:firstLine="540"/>
        <w:jc w:val="both"/>
        <w:rPr>
          <w:rFonts w:eastAsiaTheme="minorHAnsi"/>
          <w:lang w:eastAsia="en-US"/>
        </w:rPr>
      </w:pPr>
    </w:p>
    <w:p w:rsidR="007476AF" w:rsidRDefault="00886DC8" w:rsidP="001D210C">
      <w:pPr>
        <w:widowControl/>
        <w:spacing w:before="0" w:after="0"/>
        <w:ind w:firstLine="540"/>
        <w:jc w:val="both"/>
        <w:rPr>
          <w:rFonts w:eastAsiaTheme="minorHAnsi"/>
          <w:lang w:eastAsia="en-US"/>
        </w:rPr>
      </w:pPr>
      <w:r w:rsidRPr="00886DC8">
        <w:rPr>
          <w:rFonts w:eastAsiaTheme="minorHAnsi"/>
          <w:lang w:eastAsia="en-US"/>
        </w:rPr>
        <w:t xml:space="preserve">В случае размещения акций указываются ограничения, установленные акционерным обществом - эмитентом в соответствии с его уставом на максимальное количество акций, принадлежащих одному акционеру, или их номинальную стоимость. </w:t>
      </w:r>
    </w:p>
    <w:p w:rsidR="007476AF" w:rsidRPr="007476AF" w:rsidRDefault="007476AF" w:rsidP="001D210C">
      <w:pPr>
        <w:ind w:firstLine="540"/>
        <w:rPr>
          <w:rFonts w:ascii="Arial" w:hAnsi="Arial" w:cs="Arial"/>
          <w:b/>
          <w:i/>
        </w:rPr>
      </w:pPr>
      <w:r w:rsidRPr="007476AF">
        <w:rPr>
          <w:rFonts w:ascii="Arial" w:hAnsi="Arial" w:cs="Arial"/>
          <w:b/>
          <w:i/>
        </w:rPr>
        <w:t xml:space="preserve">Эмитент не осуществляет эмиссию акций. </w:t>
      </w:r>
    </w:p>
    <w:p w:rsidR="007476AF" w:rsidRDefault="007476AF" w:rsidP="001D210C">
      <w:pPr>
        <w:widowControl/>
        <w:spacing w:before="0" w:after="0"/>
        <w:ind w:firstLine="540"/>
        <w:jc w:val="both"/>
        <w:rPr>
          <w:rFonts w:eastAsiaTheme="minorHAnsi"/>
          <w:lang w:eastAsia="en-US"/>
        </w:rPr>
      </w:pPr>
    </w:p>
    <w:p w:rsidR="00886DC8" w:rsidRPr="00886DC8" w:rsidRDefault="00886DC8" w:rsidP="001D210C">
      <w:pPr>
        <w:widowControl/>
        <w:spacing w:before="0" w:after="0"/>
        <w:ind w:firstLine="540"/>
        <w:jc w:val="both"/>
        <w:rPr>
          <w:rFonts w:eastAsiaTheme="minorHAnsi"/>
          <w:lang w:eastAsia="en-US"/>
        </w:rPr>
      </w:pPr>
      <w:r w:rsidRPr="00886DC8">
        <w:rPr>
          <w:rFonts w:eastAsiaTheme="minorHAnsi"/>
          <w:lang w:eastAsia="en-US"/>
        </w:rPr>
        <w:t>Отдельно указываются ограничения, предусмотренные уставом эмитента и законодательством Российской Федерации, для потенциальных приобретателей - нерезидентов, в том числе ограничения на размер доли участия иностранных лиц в уставном капитале эмитента.</w:t>
      </w:r>
    </w:p>
    <w:p w:rsidR="007476AF" w:rsidRDefault="007476AF" w:rsidP="001D210C">
      <w:pPr>
        <w:widowControl/>
        <w:spacing w:before="0" w:after="0"/>
        <w:ind w:firstLine="540"/>
        <w:jc w:val="both"/>
        <w:rPr>
          <w:rFonts w:eastAsiaTheme="minorHAnsi"/>
          <w:lang w:eastAsia="en-US"/>
        </w:rPr>
      </w:pPr>
    </w:p>
    <w:p w:rsidR="001A4DAC" w:rsidRPr="001A4DAC" w:rsidRDefault="001A4DAC" w:rsidP="001D210C">
      <w:pPr>
        <w:ind w:firstLine="540"/>
        <w:rPr>
          <w:rFonts w:ascii="Arial" w:hAnsi="Arial" w:cs="Arial"/>
          <w:b/>
          <w:i/>
        </w:rPr>
      </w:pPr>
      <w:r w:rsidRPr="001A4DAC">
        <w:rPr>
          <w:rFonts w:ascii="Arial" w:hAnsi="Arial" w:cs="Arial"/>
          <w:b/>
          <w:i/>
        </w:rPr>
        <w:t xml:space="preserve">Размещение Биржевых облигаций может осуществляться только на торгах биржи. Обращение Биржевых облигаций может осуществляться на биржевом и внебиржевом рынках. </w:t>
      </w:r>
    </w:p>
    <w:p w:rsidR="001A4DAC" w:rsidRPr="001A4DAC" w:rsidRDefault="001A4DAC" w:rsidP="00060DD7">
      <w:pPr>
        <w:ind w:firstLine="540"/>
        <w:jc w:val="both"/>
        <w:rPr>
          <w:rFonts w:ascii="Arial" w:hAnsi="Arial" w:cs="Arial"/>
          <w:b/>
          <w:i/>
        </w:rPr>
      </w:pPr>
      <w:r w:rsidRPr="001A4DAC">
        <w:rPr>
          <w:rFonts w:ascii="Arial" w:hAnsi="Arial" w:cs="Arial"/>
          <w:b/>
          <w:i/>
        </w:rPr>
        <w:t xml:space="preserve">Обращение Биржевых облигаций до их полной оплаты запрещается. </w:t>
      </w:r>
    </w:p>
    <w:p w:rsidR="001A4DAC" w:rsidRPr="001A4DAC" w:rsidRDefault="001A4DAC" w:rsidP="00060DD7">
      <w:pPr>
        <w:ind w:firstLine="540"/>
        <w:jc w:val="both"/>
        <w:rPr>
          <w:rFonts w:ascii="Arial" w:hAnsi="Arial" w:cs="Arial"/>
          <w:b/>
          <w:i/>
        </w:rPr>
      </w:pPr>
      <w:r w:rsidRPr="001A4DAC">
        <w:rPr>
          <w:rFonts w:ascii="Arial" w:hAnsi="Arial" w:cs="Arial"/>
          <w:b/>
          <w:i/>
        </w:rPr>
        <w:t xml:space="preserve">Нерезиденты могут приобретать Биржевые облигации в соответствии с действующим законодательством и нормативными актами Российской Федерации. </w:t>
      </w:r>
    </w:p>
    <w:p w:rsidR="001A4DAC" w:rsidRPr="001A4DAC" w:rsidRDefault="001A4DAC" w:rsidP="00060DD7">
      <w:pPr>
        <w:ind w:firstLine="540"/>
        <w:jc w:val="both"/>
        <w:rPr>
          <w:rFonts w:ascii="Arial" w:hAnsi="Arial" w:cs="Arial"/>
          <w:b/>
          <w:i/>
        </w:rPr>
      </w:pPr>
      <w:r w:rsidRPr="001A4DAC">
        <w:rPr>
          <w:rFonts w:ascii="Arial" w:hAnsi="Arial" w:cs="Arial"/>
          <w:b/>
          <w:i/>
        </w:rPr>
        <w:t xml:space="preserve">На биржевом рынке Биржевые облигации обращаются с изъятиями, установленными организаторами торговли. </w:t>
      </w:r>
    </w:p>
    <w:p w:rsidR="007476AF" w:rsidRPr="00886DC8" w:rsidRDefault="007476AF" w:rsidP="001D210C">
      <w:pPr>
        <w:widowControl/>
        <w:spacing w:before="0" w:after="0"/>
        <w:ind w:firstLine="540"/>
        <w:jc w:val="both"/>
        <w:rPr>
          <w:rFonts w:eastAsiaTheme="minorHAnsi"/>
          <w:lang w:eastAsia="en-US"/>
        </w:rPr>
      </w:pPr>
    </w:p>
    <w:p w:rsidR="00886DC8" w:rsidRPr="00CD1316" w:rsidRDefault="00886DC8" w:rsidP="00886DC8">
      <w:pPr>
        <w:widowControl/>
        <w:spacing w:before="0" w:after="0"/>
        <w:ind w:firstLine="540"/>
        <w:jc w:val="both"/>
        <w:outlineLvl w:val="1"/>
        <w:rPr>
          <w:rFonts w:ascii="Arial" w:eastAsiaTheme="minorHAnsi" w:hAnsi="Arial" w:cs="Arial"/>
          <w:b/>
          <w:i/>
          <w:sz w:val="28"/>
          <w:szCs w:val="28"/>
          <w:lang w:eastAsia="en-US"/>
        </w:rPr>
      </w:pPr>
      <w:bookmarkStart w:id="180" w:name="_Toc448251246"/>
      <w:r w:rsidRPr="00CD1316">
        <w:rPr>
          <w:rFonts w:ascii="Arial" w:eastAsiaTheme="minorHAnsi" w:hAnsi="Arial" w:cs="Arial"/>
          <w:b/>
          <w:i/>
          <w:sz w:val="28"/>
          <w:szCs w:val="28"/>
          <w:lang w:eastAsia="en-US"/>
        </w:rPr>
        <w:t>8.17. Сведения о динамике изменения цен на эмиссионные ценные бумаги эмитента</w:t>
      </w:r>
      <w:bookmarkEnd w:id="180"/>
    </w:p>
    <w:p w:rsidR="00DA7310" w:rsidRDefault="00DA7310" w:rsidP="00886DC8">
      <w:pPr>
        <w:widowControl/>
        <w:spacing w:before="0" w:after="0"/>
        <w:ind w:firstLine="540"/>
        <w:jc w:val="both"/>
        <w:rPr>
          <w:rFonts w:eastAsiaTheme="minorHAnsi"/>
          <w:lang w:eastAsia="en-US"/>
        </w:rPr>
      </w:pPr>
    </w:p>
    <w:p w:rsidR="00886DC8" w:rsidRDefault="00886DC8" w:rsidP="00886DC8">
      <w:pPr>
        <w:widowControl/>
        <w:spacing w:before="0" w:after="0"/>
        <w:ind w:firstLine="540"/>
        <w:jc w:val="both"/>
        <w:rPr>
          <w:rFonts w:eastAsiaTheme="minorHAnsi"/>
          <w:lang w:eastAsia="en-US"/>
        </w:rPr>
      </w:pPr>
      <w:r w:rsidRPr="00886DC8">
        <w:rPr>
          <w:rFonts w:eastAsiaTheme="minorHAnsi"/>
          <w:lang w:eastAsia="en-US"/>
        </w:rPr>
        <w:t>В случае если ценные бумаги эмитента того же вида, что и размещаемые ценные бумаги, допущены к организованным торгам, по каждому кварталу, в течение которого через организатора торговли совершалось не менее 10 сделок с такими ценными бумагами, но не более чем за три последних завершенных года, либо за каждый завершенный отчетный год, если эмитент осуществляет свою деятельность менее трех лет, указываются:</w:t>
      </w:r>
    </w:p>
    <w:p w:rsidR="00DA7310" w:rsidRPr="00060DD7" w:rsidRDefault="00060DD7" w:rsidP="00060DD7">
      <w:pPr>
        <w:jc w:val="right"/>
        <w:rPr>
          <w:rFonts w:ascii="Arial" w:hAnsi="Arial" w:cs="Arial"/>
          <w:b/>
          <w:i/>
        </w:rPr>
      </w:pPr>
      <w:r w:rsidRPr="00060DD7">
        <w:rPr>
          <w:rFonts w:ascii="Arial" w:hAnsi="Arial" w:cs="Arial"/>
          <w:b/>
          <w:i/>
        </w:rPr>
        <w:t>в % от номинальной стоимости</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6"/>
        <w:gridCol w:w="2674"/>
        <w:gridCol w:w="2674"/>
        <w:gridCol w:w="2576"/>
      </w:tblGrid>
      <w:tr w:rsidR="00DA7310" w:rsidRPr="00B33AF2" w:rsidTr="0002051E">
        <w:trPr>
          <w:tblHeader/>
        </w:trPr>
        <w:tc>
          <w:tcPr>
            <w:tcW w:w="816" w:type="pct"/>
          </w:tcPr>
          <w:p w:rsidR="00DA7310" w:rsidRPr="00B33AF2" w:rsidRDefault="00DA7310" w:rsidP="004B4213">
            <w:pPr>
              <w:jc w:val="both"/>
            </w:pPr>
            <w:r w:rsidRPr="00B33AF2">
              <w:t>Период</w:t>
            </w:r>
          </w:p>
        </w:tc>
        <w:tc>
          <w:tcPr>
            <w:tcW w:w="1412" w:type="pct"/>
          </w:tcPr>
          <w:p w:rsidR="00DA7310" w:rsidRPr="00B33AF2" w:rsidRDefault="00DA7310" w:rsidP="00060DD7">
            <w:pPr>
              <w:jc w:val="both"/>
            </w:pPr>
            <w:r w:rsidRPr="00B33AF2">
              <w:t>Наименьшая цена одной ценной бумаги</w:t>
            </w:r>
            <w:r w:rsidRPr="00B33AF2">
              <w:rPr>
                <w:rFonts w:eastAsiaTheme="minorHAnsi"/>
                <w:lang w:eastAsia="en-US"/>
              </w:rPr>
              <w:t xml:space="preserve"> по сделкам, совершенным в отчетном квартале с ценными бумагами через организатора торговли</w:t>
            </w:r>
            <w:r w:rsidR="00AF76C5">
              <w:rPr>
                <w:rFonts w:eastAsiaTheme="minorHAnsi"/>
                <w:lang w:eastAsia="en-US"/>
              </w:rPr>
              <w:t xml:space="preserve"> на рынке ценных бумаг</w:t>
            </w:r>
          </w:p>
        </w:tc>
        <w:tc>
          <w:tcPr>
            <w:tcW w:w="1412" w:type="pct"/>
          </w:tcPr>
          <w:p w:rsidR="00DA7310" w:rsidRPr="00B33AF2" w:rsidRDefault="00DA7310" w:rsidP="00060DD7">
            <w:pPr>
              <w:jc w:val="both"/>
            </w:pPr>
            <w:r w:rsidRPr="00B33AF2">
              <w:t xml:space="preserve">Наибольшая цена одной ценной бумаги </w:t>
            </w:r>
            <w:r w:rsidRPr="00B33AF2">
              <w:rPr>
                <w:rFonts w:eastAsiaTheme="minorHAnsi"/>
                <w:lang w:eastAsia="en-US"/>
              </w:rPr>
              <w:t>по сделкам, совершенным в отчетном квартале с ценными бумагами через организатора торговли</w:t>
            </w:r>
            <w:r w:rsidR="00AF76C5">
              <w:rPr>
                <w:rFonts w:eastAsiaTheme="minorHAnsi"/>
                <w:lang w:eastAsia="en-US"/>
              </w:rPr>
              <w:t xml:space="preserve"> на рынке ценных бумаг</w:t>
            </w:r>
          </w:p>
        </w:tc>
        <w:tc>
          <w:tcPr>
            <w:tcW w:w="1360" w:type="pct"/>
          </w:tcPr>
          <w:p w:rsidR="00DA7310" w:rsidRPr="00B33AF2" w:rsidRDefault="00DA7310" w:rsidP="00060DD7">
            <w:pPr>
              <w:jc w:val="both"/>
            </w:pPr>
            <w:r w:rsidRPr="00B33AF2">
              <w:t xml:space="preserve">Рыночная цена одной ценной бумаги, </w:t>
            </w:r>
            <w:r w:rsidRPr="00B33AF2">
              <w:rPr>
                <w:rFonts w:eastAsiaTheme="minorHAnsi"/>
                <w:lang w:eastAsia="en-US"/>
              </w:rPr>
              <w:t>раскрытая организатором торговли</w:t>
            </w:r>
          </w:p>
        </w:tc>
      </w:tr>
      <w:tr w:rsidR="00DA7310" w:rsidRPr="00B33AF2" w:rsidTr="0002051E">
        <w:tc>
          <w:tcPr>
            <w:tcW w:w="5000" w:type="pct"/>
            <w:gridSpan w:val="4"/>
          </w:tcPr>
          <w:p w:rsidR="00B33AF2" w:rsidRPr="00B33AF2" w:rsidRDefault="00DA7310" w:rsidP="00AF76C5">
            <w:pPr>
              <w:jc w:val="both"/>
            </w:pPr>
            <w:r w:rsidRPr="00B33AF2">
              <w:t>вид, категория (тип), форма и иные идентификационные признаки ценных бумаг:</w:t>
            </w:r>
            <w:r w:rsidRPr="00B33AF2">
              <w:rPr>
                <w:b/>
                <w:bCs/>
                <w:i/>
                <w:iCs/>
              </w:rPr>
              <w:t xml:space="preserve"> </w:t>
            </w:r>
            <w:r w:rsidRPr="00B33AF2">
              <w:rPr>
                <w:rFonts w:ascii="Arial" w:hAnsi="Arial" w:cs="Arial"/>
                <w:b/>
                <w:i/>
              </w:rPr>
              <w:t xml:space="preserve">неконвертируемые процентные документарные облигации на предъявителя </w:t>
            </w:r>
            <w:r w:rsidR="00B33AF2" w:rsidRPr="00B33AF2">
              <w:rPr>
                <w:rFonts w:ascii="Arial" w:hAnsi="Arial" w:cs="Arial"/>
                <w:b/>
                <w:i/>
              </w:rPr>
              <w:t>серии 02</w:t>
            </w:r>
            <w:r w:rsidR="00B33AF2" w:rsidRPr="00B33AF2">
              <w:rPr>
                <w:b/>
                <w:bCs/>
                <w:i/>
                <w:iCs/>
              </w:rPr>
              <w:t xml:space="preserve"> </w:t>
            </w:r>
            <w:r w:rsidRPr="00B33AF2">
              <w:rPr>
                <w:rFonts w:ascii="Arial" w:hAnsi="Arial" w:cs="Arial"/>
                <w:b/>
                <w:i/>
              </w:rPr>
              <w:t xml:space="preserve">с обязательным централизованным хранением </w:t>
            </w:r>
            <w:r w:rsidR="00B33AF2" w:rsidRPr="00B33AF2">
              <w:rPr>
                <w:rFonts w:ascii="Arial" w:hAnsi="Arial" w:cs="Arial"/>
                <w:b/>
                <w:i/>
              </w:rPr>
              <w:t xml:space="preserve">с возможностью частичного досрочного погашения по усмотрению </w:t>
            </w:r>
            <w:r w:rsidR="00AF76C5">
              <w:rPr>
                <w:rFonts w:ascii="Arial" w:hAnsi="Arial" w:cs="Arial"/>
                <w:b/>
                <w:i/>
              </w:rPr>
              <w:t>Э</w:t>
            </w:r>
            <w:r w:rsidR="00AF76C5" w:rsidRPr="00B33AF2">
              <w:rPr>
                <w:rFonts w:ascii="Arial" w:hAnsi="Arial" w:cs="Arial"/>
                <w:b/>
                <w:i/>
              </w:rPr>
              <w:t>митента</w:t>
            </w:r>
            <w:r w:rsidR="00C60EC3">
              <w:rPr>
                <w:rStyle w:val="af1"/>
                <w:rFonts w:ascii="Arial" w:hAnsi="Arial" w:cs="Arial"/>
                <w:b/>
                <w:i/>
              </w:rPr>
              <w:footnoteReference w:id="10"/>
            </w:r>
          </w:p>
        </w:tc>
      </w:tr>
      <w:tr w:rsidR="00DA7310" w:rsidRPr="00A936D6" w:rsidTr="0002051E">
        <w:tc>
          <w:tcPr>
            <w:tcW w:w="816" w:type="pct"/>
          </w:tcPr>
          <w:p w:rsidR="00DA7310" w:rsidRPr="00A936D6" w:rsidRDefault="00DA7310" w:rsidP="0002051E">
            <w:pPr>
              <w:jc w:val="both"/>
              <w:rPr>
                <w:rFonts w:ascii="Arial" w:hAnsi="Arial" w:cs="Arial"/>
                <w:b/>
                <w:i/>
              </w:rPr>
            </w:pPr>
            <w:r w:rsidRPr="00A936D6">
              <w:rPr>
                <w:rFonts w:ascii="Arial" w:hAnsi="Arial" w:cs="Arial"/>
                <w:b/>
                <w:i/>
              </w:rPr>
              <w:t>1 кв. 2013</w:t>
            </w:r>
          </w:p>
        </w:tc>
        <w:tc>
          <w:tcPr>
            <w:tcW w:w="1412" w:type="pct"/>
            <w:vAlign w:val="bottom"/>
          </w:tcPr>
          <w:p w:rsidR="00DA7310" w:rsidRPr="00A936D6" w:rsidRDefault="00BC66E0" w:rsidP="00BC66E0">
            <w:pPr>
              <w:jc w:val="right"/>
              <w:rPr>
                <w:rFonts w:ascii="Arial" w:hAnsi="Arial" w:cs="Arial"/>
                <w:b/>
                <w:i/>
              </w:rPr>
            </w:pPr>
            <w:r w:rsidRPr="00A936D6">
              <w:rPr>
                <w:rFonts w:ascii="Arial" w:hAnsi="Arial" w:cs="Arial"/>
                <w:b/>
                <w:i/>
              </w:rPr>
              <w:t>99,99</w:t>
            </w:r>
          </w:p>
        </w:tc>
        <w:tc>
          <w:tcPr>
            <w:tcW w:w="1412" w:type="pct"/>
            <w:vAlign w:val="bottom"/>
          </w:tcPr>
          <w:p w:rsidR="00DA7310" w:rsidRPr="00A936D6" w:rsidRDefault="00BC66E0" w:rsidP="00BC66E0">
            <w:pPr>
              <w:jc w:val="right"/>
              <w:rPr>
                <w:rFonts w:ascii="Arial" w:hAnsi="Arial" w:cs="Arial"/>
                <w:b/>
                <w:i/>
              </w:rPr>
            </w:pPr>
            <w:r w:rsidRPr="00A936D6">
              <w:rPr>
                <w:rFonts w:ascii="Arial" w:hAnsi="Arial" w:cs="Arial"/>
                <w:b/>
                <w:i/>
              </w:rPr>
              <w:t>103,50</w:t>
            </w:r>
          </w:p>
        </w:tc>
        <w:tc>
          <w:tcPr>
            <w:tcW w:w="1360" w:type="pct"/>
            <w:vAlign w:val="bottom"/>
          </w:tcPr>
          <w:p w:rsidR="00DA7310" w:rsidRPr="00A936D6" w:rsidRDefault="00BC66E0" w:rsidP="0002051E">
            <w:pPr>
              <w:jc w:val="right"/>
              <w:rPr>
                <w:rFonts w:ascii="Arial" w:hAnsi="Arial" w:cs="Arial"/>
                <w:b/>
                <w:i/>
              </w:rPr>
            </w:pPr>
            <w:r w:rsidRPr="00A936D6">
              <w:rPr>
                <w:rFonts w:ascii="Arial" w:hAnsi="Arial" w:cs="Arial"/>
                <w:b/>
                <w:i/>
              </w:rPr>
              <w:t>102,49</w:t>
            </w:r>
          </w:p>
        </w:tc>
      </w:tr>
      <w:tr w:rsidR="00DA7310" w:rsidRPr="00A936D6" w:rsidTr="0002051E">
        <w:tc>
          <w:tcPr>
            <w:tcW w:w="816" w:type="pct"/>
          </w:tcPr>
          <w:p w:rsidR="00DA7310" w:rsidRPr="00A936D6" w:rsidRDefault="00DA7310" w:rsidP="0002051E">
            <w:pPr>
              <w:jc w:val="both"/>
              <w:rPr>
                <w:rFonts w:ascii="Arial" w:hAnsi="Arial" w:cs="Arial"/>
                <w:b/>
                <w:i/>
              </w:rPr>
            </w:pPr>
            <w:r w:rsidRPr="00A936D6">
              <w:rPr>
                <w:rFonts w:ascii="Arial" w:hAnsi="Arial" w:cs="Arial"/>
                <w:b/>
                <w:i/>
              </w:rPr>
              <w:t>2 кв. 2013</w:t>
            </w:r>
          </w:p>
        </w:tc>
        <w:tc>
          <w:tcPr>
            <w:tcW w:w="1412" w:type="pct"/>
            <w:vAlign w:val="bottom"/>
          </w:tcPr>
          <w:p w:rsidR="00DA7310" w:rsidRPr="00A936D6" w:rsidRDefault="005E48DA" w:rsidP="005E48DA">
            <w:pPr>
              <w:jc w:val="right"/>
              <w:rPr>
                <w:rFonts w:ascii="Arial" w:hAnsi="Arial" w:cs="Arial"/>
                <w:b/>
                <w:i/>
              </w:rPr>
            </w:pPr>
            <w:r w:rsidRPr="00A936D6">
              <w:rPr>
                <w:rFonts w:ascii="Arial" w:hAnsi="Arial" w:cs="Arial"/>
                <w:b/>
                <w:i/>
              </w:rPr>
              <w:t>103,10</w:t>
            </w:r>
          </w:p>
        </w:tc>
        <w:tc>
          <w:tcPr>
            <w:tcW w:w="1412" w:type="pct"/>
            <w:vAlign w:val="bottom"/>
          </w:tcPr>
          <w:p w:rsidR="00DA7310" w:rsidRPr="00A936D6" w:rsidRDefault="005E48DA" w:rsidP="005E48DA">
            <w:pPr>
              <w:jc w:val="right"/>
              <w:rPr>
                <w:rFonts w:ascii="Arial" w:hAnsi="Arial" w:cs="Arial"/>
                <w:b/>
                <w:i/>
              </w:rPr>
            </w:pPr>
            <w:r w:rsidRPr="00A936D6">
              <w:rPr>
                <w:rFonts w:ascii="Arial" w:hAnsi="Arial" w:cs="Arial"/>
                <w:b/>
                <w:i/>
              </w:rPr>
              <w:t>107,25</w:t>
            </w:r>
          </w:p>
        </w:tc>
        <w:tc>
          <w:tcPr>
            <w:tcW w:w="1360" w:type="pct"/>
            <w:vAlign w:val="bottom"/>
          </w:tcPr>
          <w:p w:rsidR="00DA7310" w:rsidRPr="00A936D6" w:rsidRDefault="005E48DA" w:rsidP="0002051E">
            <w:pPr>
              <w:jc w:val="right"/>
              <w:rPr>
                <w:rFonts w:ascii="Arial" w:hAnsi="Arial" w:cs="Arial"/>
                <w:b/>
                <w:i/>
              </w:rPr>
            </w:pPr>
            <w:r w:rsidRPr="00A936D6">
              <w:rPr>
                <w:rFonts w:ascii="Arial" w:hAnsi="Arial" w:cs="Arial"/>
                <w:b/>
                <w:i/>
              </w:rPr>
              <w:t>106,78</w:t>
            </w:r>
          </w:p>
        </w:tc>
      </w:tr>
      <w:tr w:rsidR="00DA7310" w:rsidRPr="00A936D6" w:rsidTr="0002051E">
        <w:tc>
          <w:tcPr>
            <w:tcW w:w="816" w:type="pct"/>
          </w:tcPr>
          <w:p w:rsidR="00DA7310" w:rsidRPr="00A936D6" w:rsidRDefault="00DA7310" w:rsidP="0002051E">
            <w:pPr>
              <w:jc w:val="both"/>
              <w:rPr>
                <w:rFonts w:ascii="Arial" w:hAnsi="Arial" w:cs="Arial"/>
                <w:b/>
                <w:i/>
              </w:rPr>
            </w:pPr>
            <w:r w:rsidRPr="00A936D6">
              <w:rPr>
                <w:rFonts w:ascii="Arial" w:hAnsi="Arial" w:cs="Arial"/>
                <w:b/>
                <w:i/>
              </w:rPr>
              <w:t>3 кв. 2013</w:t>
            </w:r>
          </w:p>
        </w:tc>
        <w:tc>
          <w:tcPr>
            <w:tcW w:w="1412" w:type="pct"/>
            <w:vAlign w:val="bottom"/>
          </w:tcPr>
          <w:p w:rsidR="00DA7310" w:rsidRPr="00A936D6" w:rsidRDefault="00014FB6" w:rsidP="00014FB6">
            <w:pPr>
              <w:jc w:val="right"/>
              <w:rPr>
                <w:rFonts w:ascii="Arial" w:hAnsi="Arial" w:cs="Arial"/>
                <w:b/>
                <w:i/>
              </w:rPr>
            </w:pPr>
            <w:r w:rsidRPr="00A936D6">
              <w:rPr>
                <w:rFonts w:ascii="Arial" w:hAnsi="Arial" w:cs="Arial"/>
                <w:b/>
                <w:i/>
              </w:rPr>
              <w:t>99,3</w:t>
            </w:r>
            <w:r w:rsidR="00F62832" w:rsidRPr="00A936D6">
              <w:rPr>
                <w:rFonts w:ascii="Arial" w:hAnsi="Arial" w:cs="Arial"/>
                <w:b/>
                <w:i/>
              </w:rPr>
              <w:t>0</w:t>
            </w:r>
          </w:p>
        </w:tc>
        <w:tc>
          <w:tcPr>
            <w:tcW w:w="1412" w:type="pct"/>
            <w:vAlign w:val="bottom"/>
          </w:tcPr>
          <w:p w:rsidR="00DA7310" w:rsidRPr="00A936D6" w:rsidRDefault="00014FB6" w:rsidP="00014FB6">
            <w:pPr>
              <w:jc w:val="right"/>
              <w:rPr>
                <w:rFonts w:ascii="Arial" w:hAnsi="Arial" w:cs="Arial"/>
                <w:b/>
                <w:i/>
              </w:rPr>
            </w:pPr>
            <w:r w:rsidRPr="00A936D6">
              <w:rPr>
                <w:rFonts w:ascii="Arial" w:hAnsi="Arial" w:cs="Arial"/>
                <w:b/>
                <w:i/>
              </w:rPr>
              <w:t>109,01</w:t>
            </w:r>
          </w:p>
        </w:tc>
        <w:tc>
          <w:tcPr>
            <w:tcW w:w="1360" w:type="pct"/>
            <w:vAlign w:val="bottom"/>
          </w:tcPr>
          <w:p w:rsidR="00DA7310" w:rsidRPr="00A936D6" w:rsidRDefault="00014FB6" w:rsidP="0002051E">
            <w:pPr>
              <w:jc w:val="right"/>
              <w:rPr>
                <w:rFonts w:ascii="Arial" w:hAnsi="Arial" w:cs="Arial"/>
                <w:b/>
                <w:i/>
              </w:rPr>
            </w:pPr>
            <w:r w:rsidRPr="00A936D6">
              <w:rPr>
                <w:rFonts w:ascii="Arial" w:hAnsi="Arial" w:cs="Arial"/>
                <w:b/>
                <w:i/>
              </w:rPr>
              <w:t>107,53</w:t>
            </w:r>
          </w:p>
        </w:tc>
      </w:tr>
      <w:tr w:rsidR="00DA7310" w:rsidRPr="00A936D6" w:rsidTr="0002051E">
        <w:tc>
          <w:tcPr>
            <w:tcW w:w="816" w:type="pct"/>
          </w:tcPr>
          <w:p w:rsidR="00DA7310" w:rsidRPr="00A936D6" w:rsidRDefault="00DA7310" w:rsidP="0002051E">
            <w:pPr>
              <w:jc w:val="both"/>
              <w:rPr>
                <w:rFonts w:ascii="Arial" w:hAnsi="Arial" w:cs="Arial"/>
                <w:b/>
                <w:i/>
              </w:rPr>
            </w:pPr>
            <w:r w:rsidRPr="00A936D6">
              <w:rPr>
                <w:rFonts w:ascii="Arial" w:hAnsi="Arial" w:cs="Arial"/>
                <w:b/>
                <w:i/>
              </w:rPr>
              <w:t>4 кв. 2013</w:t>
            </w:r>
          </w:p>
        </w:tc>
        <w:tc>
          <w:tcPr>
            <w:tcW w:w="1412" w:type="pct"/>
            <w:vAlign w:val="bottom"/>
          </w:tcPr>
          <w:p w:rsidR="00DA7310" w:rsidRPr="00A936D6" w:rsidRDefault="00EB7AC7" w:rsidP="00EB7AC7">
            <w:pPr>
              <w:jc w:val="right"/>
              <w:rPr>
                <w:rFonts w:ascii="Arial" w:hAnsi="Arial" w:cs="Arial"/>
                <w:b/>
                <w:i/>
              </w:rPr>
            </w:pPr>
            <w:r w:rsidRPr="00A936D6">
              <w:rPr>
                <w:rFonts w:ascii="Arial" w:hAnsi="Arial" w:cs="Arial"/>
                <w:b/>
                <w:i/>
              </w:rPr>
              <w:t>95,16</w:t>
            </w:r>
          </w:p>
        </w:tc>
        <w:tc>
          <w:tcPr>
            <w:tcW w:w="1412" w:type="pct"/>
            <w:vAlign w:val="bottom"/>
          </w:tcPr>
          <w:p w:rsidR="00DA7310" w:rsidRPr="00A936D6" w:rsidRDefault="00EB7AC7" w:rsidP="00EB7AC7">
            <w:pPr>
              <w:jc w:val="right"/>
              <w:rPr>
                <w:rFonts w:ascii="Arial" w:hAnsi="Arial" w:cs="Arial"/>
                <w:b/>
                <w:i/>
              </w:rPr>
            </w:pPr>
            <w:r w:rsidRPr="00A936D6">
              <w:rPr>
                <w:rFonts w:ascii="Arial" w:hAnsi="Arial" w:cs="Arial"/>
                <w:b/>
                <w:i/>
              </w:rPr>
              <w:t>108,97</w:t>
            </w:r>
          </w:p>
        </w:tc>
        <w:tc>
          <w:tcPr>
            <w:tcW w:w="1360" w:type="pct"/>
            <w:vAlign w:val="bottom"/>
          </w:tcPr>
          <w:p w:rsidR="00DA7310" w:rsidRPr="00A936D6" w:rsidRDefault="00EB7AC7" w:rsidP="0002051E">
            <w:pPr>
              <w:jc w:val="right"/>
              <w:rPr>
                <w:rFonts w:ascii="Arial" w:hAnsi="Arial" w:cs="Arial"/>
                <w:b/>
                <w:i/>
              </w:rPr>
            </w:pPr>
            <w:r w:rsidRPr="00A936D6">
              <w:rPr>
                <w:rFonts w:ascii="Arial" w:hAnsi="Arial" w:cs="Arial"/>
                <w:b/>
                <w:i/>
              </w:rPr>
              <w:t>108,30</w:t>
            </w:r>
          </w:p>
        </w:tc>
      </w:tr>
      <w:tr w:rsidR="00DA7310" w:rsidRPr="00A936D6" w:rsidTr="0002051E">
        <w:tc>
          <w:tcPr>
            <w:tcW w:w="816" w:type="pct"/>
          </w:tcPr>
          <w:p w:rsidR="00DA7310" w:rsidRPr="00A936D6" w:rsidRDefault="00DA7310" w:rsidP="0002051E">
            <w:pPr>
              <w:jc w:val="both"/>
              <w:rPr>
                <w:rFonts w:ascii="Arial" w:hAnsi="Arial" w:cs="Arial"/>
                <w:b/>
                <w:i/>
              </w:rPr>
            </w:pPr>
            <w:r w:rsidRPr="00A936D6">
              <w:rPr>
                <w:rFonts w:ascii="Arial" w:hAnsi="Arial" w:cs="Arial"/>
                <w:b/>
                <w:i/>
              </w:rPr>
              <w:t>1 кв. 2014</w:t>
            </w:r>
          </w:p>
        </w:tc>
        <w:tc>
          <w:tcPr>
            <w:tcW w:w="1412" w:type="pct"/>
            <w:vAlign w:val="bottom"/>
          </w:tcPr>
          <w:p w:rsidR="00DA7310" w:rsidRPr="00A936D6" w:rsidRDefault="00DD2C3C" w:rsidP="00DD2C3C">
            <w:pPr>
              <w:jc w:val="right"/>
              <w:rPr>
                <w:rFonts w:ascii="Arial" w:hAnsi="Arial" w:cs="Arial"/>
                <w:b/>
                <w:i/>
              </w:rPr>
            </w:pPr>
            <w:r w:rsidRPr="00A936D6">
              <w:rPr>
                <w:rFonts w:ascii="Arial" w:hAnsi="Arial" w:cs="Arial"/>
                <w:b/>
                <w:i/>
              </w:rPr>
              <w:t>91,06</w:t>
            </w:r>
          </w:p>
        </w:tc>
        <w:tc>
          <w:tcPr>
            <w:tcW w:w="1412" w:type="pct"/>
            <w:vAlign w:val="bottom"/>
          </w:tcPr>
          <w:p w:rsidR="00DA7310" w:rsidRPr="00A936D6" w:rsidRDefault="00DD2C3C" w:rsidP="00DD2C3C">
            <w:pPr>
              <w:jc w:val="right"/>
              <w:rPr>
                <w:rFonts w:ascii="Arial" w:hAnsi="Arial" w:cs="Arial"/>
                <w:b/>
                <w:i/>
              </w:rPr>
            </w:pPr>
            <w:r w:rsidRPr="00A936D6">
              <w:rPr>
                <w:rFonts w:ascii="Arial" w:hAnsi="Arial" w:cs="Arial"/>
                <w:b/>
                <w:i/>
              </w:rPr>
              <w:t>110,99</w:t>
            </w:r>
          </w:p>
        </w:tc>
        <w:tc>
          <w:tcPr>
            <w:tcW w:w="1360" w:type="pct"/>
            <w:vAlign w:val="bottom"/>
          </w:tcPr>
          <w:p w:rsidR="00DA7310" w:rsidRPr="00A936D6" w:rsidRDefault="00DD2C3C" w:rsidP="0002051E">
            <w:pPr>
              <w:jc w:val="right"/>
              <w:rPr>
                <w:rFonts w:ascii="Arial" w:hAnsi="Arial" w:cs="Arial"/>
                <w:b/>
                <w:i/>
              </w:rPr>
            </w:pPr>
            <w:r w:rsidRPr="00A936D6">
              <w:rPr>
                <w:rFonts w:ascii="Arial" w:hAnsi="Arial" w:cs="Arial"/>
                <w:b/>
                <w:i/>
              </w:rPr>
              <w:t>107,86</w:t>
            </w:r>
          </w:p>
        </w:tc>
      </w:tr>
      <w:tr w:rsidR="00DA7310" w:rsidRPr="00A936D6" w:rsidTr="0002051E">
        <w:tc>
          <w:tcPr>
            <w:tcW w:w="816" w:type="pct"/>
          </w:tcPr>
          <w:p w:rsidR="00DA7310" w:rsidRPr="00A936D6" w:rsidRDefault="00DA7310" w:rsidP="0002051E">
            <w:pPr>
              <w:jc w:val="both"/>
              <w:rPr>
                <w:rFonts w:ascii="Arial" w:hAnsi="Arial" w:cs="Arial"/>
                <w:b/>
                <w:i/>
              </w:rPr>
            </w:pPr>
            <w:r w:rsidRPr="00A936D6">
              <w:rPr>
                <w:rFonts w:ascii="Arial" w:hAnsi="Arial" w:cs="Arial"/>
                <w:b/>
                <w:i/>
              </w:rPr>
              <w:t>2 кв. 2014</w:t>
            </w:r>
          </w:p>
        </w:tc>
        <w:tc>
          <w:tcPr>
            <w:tcW w:w="1412" w:type="pct"/>
            <w:vAlign w:val="bottom"/>
          </w:tcPr>
          <w:p w:rsidR="00DA7310" w:rsidRPr="00A936D6" w:rsidRDefault="006A38C6" w:rsidP="006A38C6">
            <w:pPr>
              <w:jc w:val="right"/>
              <w:rPr>
                <w:rFonts w:ascii="Arial" w:hAnsi="Arial" w:cs="Arial"/>
                <w:b/>
                <w:i/>
              </w:rPr>
            </w:pPr>
            <w:r w:rsidRPr="00A936D6">
              <w:rPr>
                <w:rFonts w:ascii="Arial" w:hAnsi="Arial" w:cs="Arial"/>
                <w:b/>
                <w:i/>
              </w:rPr>
              <w:t>101,50</w:t>
            </w:r>
          </w:p>
        </w:tc>
        <w:tc>
          <w:tcPr>
            <w:tcW w:w="1412" w:type="pct"/>
            <w:vAlign w:val="bottom"/>
          </w:tcPr>
          <w:p w:rsidR="00DA7310" w:rsidRPr="00A936D6" w:rsidRDefault="006A38C6" w:rsidP="006A38C6">
            <w:pPr>
              <w:jc w:val="right"/>
              <w:rPr>
                <w:rFonts w:ascii="Arial" w:hAnsi="Arial" w:cs="Arial"/>
                <w:b/>
                <w:i/>
              </w:rPr>
            </w:pPr>
            <w:r w:rsidRPr="00A936D6">
              <w:rPr>
                <w:rFonts w:ascii="Arial" w:hAnsi="Arial" w:cs="Arial"/>
                <w:b/>
                <w:i/>
              </w:rPr>
              <w:t>106,00</w:t>
            </w:r>
          </w:p>
        </w:tc>
        <w:tc>
          <w:tcPr>
            <w:tcW w:w="1360" w:type="pct"/>
            <w:vAlign w:val="bottom"/>
          </w:tcPr>
          <w:p w:rsidR="00DA7310" w:rsidRPr="00A936D6" w:rsidRDefault="006A38C6" w:rsidP="0002051E">
            <w:pPr>
              <w:jc w:val="right"/>
              <w:rPr>
                <w:rFonts w:ascii="Arial" w:hAnsi="Arial" w:cs="Arial"/>
                <w:b/>
                <w:i/>
              </w:rPr>
            </w:pPr>
            <w:r w:rsidRPr="00A936D6">
              <w:rPr>
                <w:rFonts w:ascii="Arial" w:hAnsi="Arial" w:cs="Arial"/>
                <w:b/>
                <w:i/>
              </w:rPr>
              <w:t>102,66</w:t>
            </w:r>
          </w:p>
        </w:tc>
      </w:tr>
      <w:tr w:rsidR="00DA7310" w:rsidRPr="00A936D6" w:rsidTr="0002051E">
        <w:tc>
          <w:tcPr>
            <w:tcW w:w="816" w:type="pct"/>
          </w:tcPr>
          <w:p w:rsidR="00DA7310" w:rsidRPr="00A936D6" w:rsidRDefault="00DA7310" w:rsidP="0002051E">
            <w:pPr>
              <w:jc w:val="both"/>
              <w:rPr>
                <w:rFonts w:ascii="Arial" w:hAnsi="Arial" w:cs="Arial"/>
                <w:b/>
                <w:i/>
              </w:rPr>
            </w:pPr>
            <w:r w:rsidRPr="00A936D6">
              <w:rPr>
                <w:rFonts w:ascii="Arial" w:hAnsi="Arial" w:cs="Arial"/>
                <w:b/>
                <w:i/>
              </w:rPr>
              <w:t>3 кв. 2014</w:t>
            </w:r>
          </w:p>
        </w:tc>
        <w:tc>
          <w:tcPr>
            <w:tcW w:w="1412" w:type="pct"/>
            <w:vAlign w:val="bottom"/>
          </w:tcPr>
          <w:p w:rsidR="00DA7310" w:rsidRPr="00A936D6" w:rsidRDefault="00733C3E" w:rsidP="00733C3E">
            <w:pPr>
              <w:jc w:val="right"/>
              <w:rPr>
                <w:rFonts w:ascii="Arial" w:hAnsi="Arial" w:cs="Arial"/>
                <w:b/>
                <w:i/>
              </w:rPr>
            </w:pPr>
            <w:r w:rsidRPr="00A936D6">
              <w:rPr>
                <w:rFonts w:ascii="Arial" w:hAnsi="Arial" w:cs="Arial"/>
                <w:b/>
                <w:i/>
              </w:rPr>
              <w:t>91,53</w:t>
            </w:r>
          </w:p>
        </w:tc>
        <w:tc>
          <w:tcPr>
            <w:tcW w:w="1412" w:type="pct"/>
            <w:vAlign w:val="bottom"/>
          </w:tcPr>
          <w:p w:rsidR="00DA7310" w:rsidRPr="00A936D6" w:rsidRDefault="00733C3E" w:rsidP="00733C3E">
            <w:pPr>
              <w:jc w:val="right"/>
              <w:rPr>
                <w:rFonts w:ascii="Arial" w:hAnsi="Arial" w:cs="Arial"/>
                <w:b/>
                <w:i/>
              </w:rPr>
            </w:pPr>
            <w:r w:rsidRPr="00A936D6">
              <w:rPr>
                <w:rFonts w:ascii="Arial" w:hAnsi="Arial" w:cs="Arial"/>
                <w:b/>
                <w:i/>
              </w:rPr>
              <w:t>106</w:t>
            </w:r>
            <w:r w:rsidR="00CD1316" w:rsidRPr="00A936D6">
              <w:rPr>
                <w:rFonts w:ascii="Arial" w:hAnsi="Arial" w:cs="Arial"/>
                <w:b/>
                <w:i/>
              </w:rPr>
              <w:t>,00</w:t>
            </w:r>
          </w:p>
        </w:tc>
        <w:tc>
          <w:tcPr>
            <w:tcW w:w="1360" w:type="pct"/>
            <w:vAlign w:val="bottom"/>
          </w:tcPr>
          <w:p w:rsidR="00DA7310" w:rsidRPr="00A936D6" w:rsidRDefault="00733C3E" w:rsidP="0002051E">
            <w:pPr>
              <w:jc w:val="right"/>
              <w:rPr>
                <w:rFonts w:ascii="Arial" w:hAnsi="Arial" w:cs="Arial"/>
                <w:b/>
                <w:i/>
              </w:rPr>
            </w:pPr>
            <w:r w:rsidRPr="00A936D6">
              <w:rPr>
                <w:rFonts w:ascii="Arial" w:hAnsi="Arial" w:cs="Arial"/>
                <w:b/>
                <w:i/>
              </w:rPr>
              <w:t>103,48</w:t>
            </w:r>
          </w:p>
        </w:tc>
      </w:tr>
      <w:tr w:rsidR="00DA7310" w:rsidRPr="00A936D6" w:rsidTr="0002051E">
        <w:tc>
          <w:tcPr>
            <w:tcW w:w="816" w:type="pct"/>
          </w:tcPr>
          <w:p w:rsidR="00DA7310" w:rsidRPr="00A936D6" w:rsidRDefault="00DA7310" w:rsidP="0002051E">
            <w:pPr>
              <w:jc w:val="both"/>
              <w:rPr>
                <w:rFonts w:ascii="Arial" w:hAnsi="Arial" w:cs="Arial"/>
                <w:b/>
                <w:i/>
              </w:rPr>
            </w:pPr>
            <w:r w:rsidRPr="00A936D6">
              <w:rPr>
                <w:rFonts w:ascii="Arial" w:hAnsi="Arial" w:cs="Arial"/>
                <w:b/>
                <w:i/>
              </w:rPr>
              <w:t>4 кв. 2014</w:t>
            </w:r>
          </w:p>
        </w:tc>
        <w:tc>
          <w:tcPr>
            <w:tcW w:w="1412" w:type="pct"/>
            <w:vAlign w:val="bottom"/>
          </w:tcPr>
          <w:p w:rsidR="00DA7310" w:rsidRPr="00A936D6" w:rsidRDefault="00EB7AC7" w:rsidP="00EB7AC7">
            <w:pPr>
              <w:jc w:val="right"/>
              <w:rPr>
                <w:rFonts w:ascii="Arial" w:hAnsi="Arial" w:cs="Arial"/>
                <w:b/>
                <w:i/>
              </w:rPr>
            </w:pPr>
            <w:r w:rsidRPr="00A936D6">
              <w:rPr>
                <w:rFonts w:ascii="Arial" w:hAnsi="Arial" w:cs="Arial"/>
                <w:b/>
                <w:i/>
              </w:rPr>
              <w:t>79,50</w:t>
            </w:r>
          </w:p>
        </w:tc>
        <w:tc>
          <w:tcPr>
            <w:tcW w:w="1412" w:type="pct"/>
            <w:vAlign w:val="bottom"/>
          </w:tcPr>
          <w:p w:rsidR="00DA7310" w:rsidRPr="00A936D6" w:rsidRDefault="00EB7AC7" w:rsidP="00EB7AC7">
            <w:pPr>
              <w:jc w:val="right"/>
              <w:rPr>
                <w:rFonts w:ascii="Arial" w:hAnsi="Arial" w:cs="Arial"/>
                <w:b/>
                <w:i/>
              </w:rPr>
            </w:pPr>
            <w:r w:rsidRPr="00A936D6">
              <w:rPr>
                <w:rFonts w:ascii="Arial" w:hAnsi="Arial" w:cs="Arial"/>
                <w:b/>
                <w:i/>
              </w:rPr>
              <w:t>102,25</w:t>
            </w:r>
          </w:p>
        </w:tc>
        <w:tc>
          <w:tcPr>
            <w:tcW w:w="1360" w:type="pct"/>
            <w:vAlign w:val="bottom"/>
          </w:tcPr>
          <w:p w:rsidR="00DA7310" w:rsidRPr="00A936D6" w:rsidRDefault="00EB7AC7" w:rsidP="00EB7AC7">
            <w:pPr>
              <w:jc w:val="right"/>
              <w:rPr>
                <w:rFonts w:ascii="Arial" w:hAnsi="Arial" w:cs="Arial"/>
                <w:b/>
                <w:i/>
              </w:rPr>
            </w:pPr>
            <w:r w:rsidRPr="00A936D6">
              <w:rPr>
                <w:rFonts w:ascii="Arial" w:hAnsi="Arial" w:cs="Arial"/>
                <w:b/>
                <w:i/>
              </w:rPr>
              <w:t>100,07</w:t>
            </w:r>
          </w:p>
        </w:tc>
      </w:tr>
      <w:tr w:rsidR="00DA7310" w:rsidRPr="00A936D6" w:rsidTr="0002051E">
        <w:tc>
          <w:tcPr>
            <w:tcW w:w="816" w:type="pct"/>
          </w:tcPr>
          <w:p w:rsidR="00DA7310" w:rsidRPr="00A936D6" w:rsidRDefault="00DA7310" w:rsidP="0002051E">
            <w:pPr>
              <w:jc w:val="both"/>
              <w:rPr>
                <w:rFonts w:ascii="Arial" w:hAnsi="Arial" w:cs="Arial"/>
                <w:b/>
                <w:i/>
              </w:rPr>
            </w:pPr>
            <w:r w:rsidRPr="00A936D6">
              <w:rPr>
                <w:rFonts w:ascii="Arial" w:hAnsi="Arial" w:cs="Arial"/>
                <w:b/>
                <w:i/>
              </w:rPr>
              <w:t>1 кв. 2015</w:t>
            </w:r>
          </w:p>
        </w:tc>
        <w:tc>
          <w:tcPr>
            <w:tcW w:w="1412" w:type="pct"/>
            <w:vAlign w:val="bottom"/>
          </w:tcPr>
          <w:p w:rsidR="00DA7310" w:rsidRPr="00A936D6" w:rsidRDefault="002B4571" w:rsidP="002B4571">
            <w:pPr>
              <w:jc w:val="right"/>
              <w:rPr>
                <w:rFonts w:ascii="Arial" w:hAnsi="Arial" w:cs="Arial"/>
                <w:b/>
                <w:i/>
              </w:rPr>
            </w:pPr>
            <w:r w:rsidRPr="00A936D6">
              <w:rPr>
                <w:rFonts w:ascii="Arial" w:hAnsi="Arial" w:cs="Arial"/>
                <w:b/>
                <w:i/>
              </w:rPr>
              <w:t>57,63</w:t>
            </w:r>
          </w:p>
        </w:tc>
        <w:tc>
          <w:tcPr>
            <w:tcW w:w="1412" w:type="pct"/>
            <w:vAlign w:val="bottom"/>
          </w:tcPr>
          <w:p w:rsidR="00DA7310" w:rsidRPr="00A936D6" w:rsidRDefault="002B4571" w:rsidP="002B4571">
            <w:pPr>
              <w:jc w:val="right"/>
              <w:rPr>
                <w:rFonts w:ascii="Arial" w:hAnsi="Arial" w:cs="Arial"/>
                <w:b/>
                <w:i/>
              </w:rPr>
            </w:pPr>
            <w:r w:rsidRPr="00A936D6">
              <w:rPr>
                <w:rFonts w:ascii="Arial" w:hAnsi="Arial" w:cs="Arial"/>
                <w:b/>
                <w:i/>
              </w:rPr>
              <w:t>93,39</w:t>
            </w:r>
          </w:p>
        </w:tc>
        <w:tc>
          <w:tcPr>
            <w:tcW w:w="1360" w:type="pct"/>
            <w:vAlign w:val="bottom"/>
          </w:tcPr>
          <w:p w:rsidR="00DA7310" w:rsidRPr="00A936D6" w:rsidRDefault="002B4571" w:rsidP="0002051E">
            <w:pPr>
              <w:jc w:val="right"/>
              <w:rPr>
                <w:rFonts w:ascii="Arial" w:hAnsi="Arial" w:cs="Arial"/>
                <w:b/>
                <w:i/>
              </w:rPr>
            </w:pPr>
            <w:r w:rsidRPr="00A936D6">
              <w:rPr>
                <w:rFonts w:ascii="Arial" w:hAnsi="Arial" w:cs="Arial"/>
                <w:b/>
                <w:i/>
              </w:rPr>
              <w:t>89,62</w:t>
            </w:r>
          </w:p>
        </w:tc>
      </w:tr>
      <w:tr w:rsidR="00DA7310" w:rsidRPr="00A936D6" w:rsidTr="0002051E">
        <w:tc>
          <w:tcPr>
            <w:tcW w:w="816" w:type="pct"/>
          </w:tcPr>
          <w:p w:rsidR="00DA7310" w:rsidRPr="00A936D6" w:rsidRDefault="00DA7310" w:rsidP="0002051E">
            <w:pPr>
              <w:jc w:val="both"/>
              <w:rPr>
                <w:rFonts w:ascii="Arial" w:hAnsi="Arial" w:cs="Arial"/>
                <w:b/>
                <w:i/>
              </w:rPr>
            </w:pPr>
            <w:r w:rsidRPr="00A936D6">
              <w:rPr>
                <w:rFonts w:ascii="Arial" w:hAnsi="Arial" w:cs="Arial"/>
                <w:b/>
                <w:i/>
              </w:rPr>
              <w:t>2 кв. 2015</w:t>
            </w:r>
          </w:p>
        </w:tc>
        <w:tc>
          <w:tcPr>
            <w:tcW w:w="1412" w:type="pct"/>
            <w:vAlign w:val="bottom"/>
          </w:tcPr>
          <w:p w:rsidR="00DA7310" w:rsidRPr="00A936D6" w:rsidRDefault="00F62832" w:rsidP="00F62832">
            <w:pPr>
              <w:jc w:val="right"/>
              <w:rPr>
                <w:rFonts w:ascii="Arial" w:hAnsi="Arial" w:cs="Arial"/>
                <w:b/>
                <w:i/>
              </w:rPr>
            </w:pPr>
            <w:r w:rsidRPr="00A936D6">
              <w:rPr>
                <w:rFonts w:ascii="Arial" w:hAnsi="Arial" w:cs="Arial"/>
                <w:b/>
                <w:i/>
              </w:rPr>
              <w:t>92,21</w:t>
            </w:r>
          </w:p>
        </w:tc>
        <w:tc>
          <w:tcPr>
            <w:tcW w:w="1412" w:type="pct"/>
            <w:vAlign w:val="bottom"/>
          </w:tcPr>
          <w:p w:rsidR="00DA7310" w:rsidRPr="00A936D6" w:rsidRDefault="00F62832" w:rsidP="00F62832">
            <w:pPr>
              <w:jc w:val="right"/>
              <w:rPr>
                <w:rFonts w:ascii="Arial" w:hAnsi="Arial" w:cs="Arial"/>
                <w:b/>
                <w:i/>
              </w:rPr>
            </w:pPr>
            <w:r w:rsidRPr="00A936D6">
              <w:rPr>
                <w:rFonts w:ascii="Arial" w:hAnsi="Arial" w:cs="Arial"/>
                <w:b/>
                <w:i/>
              </w:rPr>
              <w:t>99,00</w:t>
            </w:r>
          </w:p>
        </w:tc>
        <w:tc>
          <w:tcPr>
            <w:tcW w:w="1360" w:type="pct"/>
            <w:vAlign w:val="bottom"/>
          </w:tcPr>
          <w:p w:rsidR="00DA7310" w:rsidRPr="00A936D6" w:rsidRDefault="00F62832" w:rsidP="0002051E">
            <w:pPr>
              <w:jc w:val="right"/>
              <w:rPr>
                <w:rFonts w:ascii="Arial" w:hAnsi="Arial" w:cs="Arial"/>
                <w:b/>
                <w:i/>
              </w:rPr>
            </w:pPr>
            <w:r w:rsidRPr="00A936D6">
              <w:rPr>
                <w:rFonts w:ascii="Arial" w:hAnsi="Arial" w:cs="Arial"/>
                <w:b/>
                <w:i/>
              </w:rPr>
              <w:t>98,33</w:t>
            </w:r>
          </w:p>
        </w:tc>
      </w:tr>
      <w:tr w:rsidR="00DA7310" w:rsidRPr="00A936D6" w:rsidTr="0002051E">
        <w:tc>
          <w:tcPr>
            <w:tcW w:w="816" w:type="pct"/>
          </w:tcPr>
          <w:p w:rsidR="00DA7310" w:rsidRPr="00A936D6" w:rsidRDefault="00DA7310" w:rsidP="0002051E">
            <w:pPr>
              <w:jc w:val="both"/>
              <w:rPr>
                <w:rFonts w:ascii="Arial" w:hAnsi="Arial" w:cs="Arial"/>
                <w:b/>
                <w:i/>
              </w:rPr>
            </w:pPr>
            <w:r w:rsidRPr="00A936D6">
              <w:rPr>
                <w:rFonts w:ascii="Arial" w:hAnsi="Arial" w:cs="Arial"/>
                <w:b/>
                <w:i/>
              </w:rPr>
              <w:t>3 кв. 2015</w:t>
            </w:r>
          </w:p>
        </w:tc>
        <w:tc>
          <w:tcPr>
            <w:tcW w:w="1412" w:type="pct"/>
            <w:vAlign w:val="bottom"/>
          </w:tcPr>
          <w:p w:rsidR="00DA7310" w:rsidRPr="00A936D6" w:rsidRDefault="00F2176A" w:rsidP="00F2176A">
            <w:pPr>
              <w:jc w:val="right"/>
              <w:rPr>
                <w:rFonts w:ascii="Arial" w:hAnsi="Arial" w:cs="Arial"/>
                <w:b/>
                <w:i/>
              </w:rPr>
            </w:pPr>
            <w:r w:rsidRPr="00A936D6">
              <w:rPr>
                <w:rFonts w:ascii="Arial" w:hAnsi="Arial" w:cs="Arial"/>
                <w:b/>
                <w:i/>
              </w:rPr>
              <w:t>92,5</w:t>
            </w:r>
            <w:r w:rsidR="007D31B3" w:rsidRPr="00A936D6">
              <w:rPr>
                <w:rFonts w:ascii="Arial" w:hAnsi="Arial" w:cs="Arial"/>
                <w:b/>
                <w:i/>
              </w:rPr>
              <w:t>0</w:t>
            </w:r>
          </w:p>
        </w:tc>
        <w:tc>
          <w:tcPr>
            <w:tcW w:w="1412" w:type="pct"/>
            <w:vAlign w:val="bottom"/>
          </w:tcPr>
          <w:p w:rsidR="00DA7310" w:rsidRPr="00A936D6" w:rsidRDefault="00F2176A" w:rsidP="00F2176A">
            <w:pPr>
              <w:jc w:val="right"/>
              <w:rPr>
                <w:rFonts w:ascii="Arial" w:hAnsi="Arial" w:cs="Arial"/>
                <w:b/>
                <w:i/>
              </w:rPr>
            </w:pPr>
            <w:r w:rsidRPr="00A936D6">
              <w:rPr>
                <w:rFonts w:ascii="Arial" w:hAnsi="Arial" w:cs="Arial"/>
                <w:b/>
                <w:i/>
              </w:rPr>
              <w:t>100,49</w:t>
            </w:r>
          </w:p>
        </w:tc>
        <w:tc>
          <w:tcPr>
            <w:tcW w:w="1360" w:type="pct"/>
            <w:vAlign w:val="bottom"/>
          </w:tcPr>
          <w:p w:rsidR="00DA7310" w:rsidRPr="00A936D6" w:rsidRDefault="00F2176A" w:rsidP="0002051E">
            <w:pPr>
              <w:jc w:val="right"/>
              <w:rPr>
                <w:rFonts w:ascii="Arial" w:hAnsi="Arial" w:cs="Arial"/>
                <w:b/>
                <w:i/>
              </w:rPr>
            </w:pPr>
            <w:r w:rsidRPr="00A936D6">
              <w:rPr>
                <w:rFonts w:ascii="Arial" w:hAnsi="Arial" w:cs="Arial"/>
                <w:b/>
                <w:i/>
              </w:rPr>
              <w:t>99,20</w:t>
            </w:r>
          </w:p>
        </w:tc>
      </w:tr>
      <w:tr w:rsidR="00DA7310" w:rsidRPr="00A936D6" w:rsidTr="0002051E">
        <w:tc>
          <w:tcPr>
            <w:tcW w:w="816" w:type="pct"/>
          </w:tcPr>
          <w:p w:rsidR="00DA7310" w:rsidRPr="00A936D6" w:rsidRDefault="00DA7310" w:rsidP="0002051E">
            <w:pPr>
              <w:jc w:val="both"/>
              <w:rPr>
                <w:rFonts w:ascii="Arial" w:hAnsi="Arial" w:cs="Arial"/>
                <w:b/>
                <w:i/>
              </w:rPr>
            </w:pPr>
            <w:r w:rsidRPr="00A936D6">
              <w:rPr>
                <w:rFonts w:ascii="Arial" w:hAnsi="Arial" w:cs="Arial"/>
                <w:b/>
                <w:i/>
              </w:rPr>
              <w:t>4 кв. 2015</w:t>
            </w:r>
          </w:p>
        </w:tc>
        <w:tc>
          <w:tcPr>
            <w:tcW w:w="1412" w:type="pct"/>
            <w:vAlign w:val="bottom"/>
          </w:tcPr>
          <w:p w:rsidR="00DA7310" w:rsidRPr="00A936D6" w:rsidRDefault="00F95FDB" w:rsidP="00F95FDB">
            <w:pPr>
              <w:jc w:val="right"/>
              <w:rPr>
                <w:rFonts w:ascii="Arial" w:hAnsi="Arial" w:cs="Arial"/>
                <w:b/>
                <w:i/>
              </w:rPr>
            </w:pPr>
            <w:r w:rsidRPr="00A936D6">
              <w:rPr>
                <w:rFonts w:ascii="Arial" w:hAnsi="Arial" w:cs="Arial"/>
                <w:b/>
                <w:i/>
              </w:rPr>
              <w:t>89,25</w:t>
            </w:r>
          </w:p>
        </w:tc>
        <w:tc>
          <w:tcPr>
            <w:tcW w:w="1412" w:type="pct"/>
            <w:vAlign w:val="bottom"/>
          </w:tcPr>
          <w:p w:rsidR="00DA7310" w:rsidRPr="00A936D6" w:rsidRDefault="00DA7310" w:rsidP="0002051E">
            <w:pPr>
              <w:jc w:val="right"/>
              <w:rPr>
                <w:rFonts w:ascii="Arial" w:hAnsi="Arial" w:cs="Arial"/>
                <w:b/>
                <w:i/>
              </w:rPr>
            </w:pPr>
            <w:r w:rsidRPr="00A936D6">
              <w:rPr>
                <w:rFonts w:ascii="Arial" w:hAnsi="Arial" w:cs="Arial"/>
                <w:b/>
                <w:i/>
              </w:rPr>
              <w:t>100,00</w:t>
            </w:r>
          </w:p>
        </w:tc>
        <w:tc>
          <w:tcPr>
            <w:tcW w:w="1360" w:type="pct"/>
            <w:vAlign w:val="bottom"/>
          </w:tcPr>
          <w:p w:rsidR="00DA7310" w:rsidRPr="00A936D6" w:rsidRDefault="00DA7310" w:rsidP="00DA6006">
            <w:pPr>
              <w:jc w:val="right"/>
              <w:rPr>
                <w:rFonts w:ascii="Arial" w:hAnsi="Arial" w:cs="Arial"/>
                <w:b/>
                <w:i/>
              </w:rPr>
            </w:pPr>
            <w:r w:rsidRPr="00A936D6">
              <w:rPr>
                <w:rFonts w:ascii="Arial" w:hAnsi="Arial" w:cs="Arial"/>
                <w:b/>
                <w:i/>
              </w:rPr>
              <w:t>99,</w:t>
            </w:r>
            <w:r w:rsidR="00DA6006" w:rsidRPr="00A936D6">
              <w:rPr>
                <w:rFonts w:ascii="Arial" w:hAnsi="Arial" w:cs="Arial"/>
                <w:b/>
                <w:i/>
              </w:rPr>
              <w:t>45</w:t>
            </w:r>
          </w:p>
        </w:tc>
      </w:tr>
      <w:tr w:rsidR="0002051E" w:rsidRPr="00A936D6" w:rsidTr="0002051E">
        <w:tc>
          <w:tcPr>
            <w:tcW w:w="816" w:type="pct"/>
          </w:tcPr>
          <w:p w:rsidR="0002051E" w:rsidRPr="00A936D6" w:rsidRDefault="0002051E" w:rsidP="0002051E">
            <w:pPr>
              <w:jc w:val="both"/>
              <w:rPr>
                <w:rFonts w:ascii="Arial" w:hAnsi="Arial" w:cs="Arial"/>
                <w:b/>
                <w:i/>
              </w:rPr>
            </w:pPr>
            <w:r w:rsidRPr="00A936D6">
              <w:rPr>
                <w:rFonts w:ascii="Arial" w:hAnsi="Arial" w:cs="Arial"/>
                <w:b/>
                <w:i/>
              </w:rPr>
              <w:t>1 кв. 2016</w:t>
            </w:r>
          </w:p>
        </w:tc>
        <w:tc>
          <w:tcPr>
            <w:tcW w:w="1412" w:type="pct"/>
            <w:vAlign w:val="bottom"/>
          </w:tcPr>
          <w:p w:rsidR="0002051E" w:rsidRPr="00A936D6" w:rsidRDefault="007D31B3" w:rsidP="007D31B3">
            <w:pPr>
              <w:jc w:val="right"/>
              <w:rPr>
                <w:rFonts w:ascii="Arial" w:hAnsi="Arial" w:cs="Arial"/>
                <w:b/>
                <w:i/>
              </w:rPr>
            </w:pPr>
            <w:r w:rsidRPr="00A936D6">
              <w:rPr>
                <w:rFonts w:ascii="Arial" w:hAnsi="Arial" w:cs="Arial"/>
                <w:b/>
                <w:i/>
              </w:rPr>
              <w:t>90,25</w:t>
            </w:r>
          </w:p>
        </w:tc>
        <w:tc>
          <w:tcPr>
            <w:tcW w:w="1412" w:type="pct"/>
            <w:vAlign w:val="bottom"/>
          </w:tcPr>
          <w:p w:rsidR="0002051E" w:rsidRPr="00A936D6" w:rsidRDefault="007D31B3" w:rsidP="007D31B3">
            <w:pPr>
              <w:jc w:val="right"/>
              <w:rPr>
                <w:rFonts w:ascii="Arial" w:hAnsi="Arial" w:cs="Arial"/>
                <w:b/>
                <w:i/>
              </w:rPr>
            </w:pPr>
            <w:r w:rsidRPr="00A936D6">
              <w:rPr>
                <w:rFonts w:ascii="Arial" w:hAnsi="Arial" w:cs="Arial"/>
                <w:b/>
                <w:i/>
              </w:rPr>
              <w:t>100,98</w:t>
            </w:r>
          </w:p>
        </w:tc>
        <w:tc>
          <w:tcPr>
            <w:tcW w:w="1360" w:type="pct"/>
            <w:vAlign w:val="bottom"/>
          </w:tcPr>
          <w:p w:rsidR="0002051E" w:rsidRPr="00A936D6" w:rsidRDefault="007D31B3" w:rsidP="0002051E">
            <w:pPr>
              <w:jc w:val="right"/>
              <w:rPr>
                <w:rFonts w:ascii="Arial" w:hAnsi="Arial" w:cs="Arial"/>
                <w:b/>
                <w:i/>
              </w:rPr>
            </w:pPr>
            <w:r w:rsidRPr="00A936D6">
              <w:rPr>
                <w:rFonts w:ascii="Arial" w:hAnsi="Arial" w:cs="Arial"/>
                <w:b/>
                <w:i/>
              </w:rPr>
              <w:t>99,83</w:t>
            </w:r>
          </w:p>
        </w:tc>
      </w:tr>
    </w:tbl>
    <w:p w:rsidR="00DA7310" w:rsidRPr="00A936D6" w:rsidRDefault="00DA7310" w:rsidP="00DA7310">
      <w:pPr>
        <w:pStyle w:val="Basic"/>
        <w:rPr>
          <w:b/>
          <w:i/>
          <w:sz w:val="20"/>
        </w:rPr>
      </w:pPr>
    </w:p>
    <w:p w:rsidR="00DA7310" w:rsidRPr="00DA7310" w:rsidRDefault="00DA7310" w:rsidP="00DA7310">
      <w:pPr>
        <w:ind w:firstLine="540"/>
        <w:jc w:val="both"/>
        <w:rPr>
          <w:rFonts w:ascii="Arial" w:eastAsiaTheme="minorHAnsi" w:hAnsi="Arial" w:cs="Arial"/>
          <w:b/>
          <w:i/>
          <w:lang w:eastAsia="en-US"/>
        </w:rPr>
      </w:pPr>
      <w:r w:rsidRPr="00BF27C1">
        <w:t>Полное фирменное наименование</w:t>
      </w:r>
      <w:r w:rsidRPr="00DA7310">
        <w:rPr>
          <w:rFonts w:eastAsiaTheme="minorHAnsi"/>
          <w:lang w:eastAsia="en-US"/>
        </w:rPr>
        <w:t xml:space="preserve"> </w:t>
      </w:r>
      <w:r w:rsidRPr="00886DC8">
        <w:rPr>
          <w:rFonts w:eastAsiaTheme="minorHAnsi"/>
          <w:lang w:eastAsia="en-US"/>
        </w:rPr>
        <w:t>организатора торговли, через которого совершались сделки, на основании которых указываются сведения о динамике изменения цен на ценные бумаги</w:t>
      </w:r>
      <w:r w:rsidRPr="00BF27C1">
        <w:rPr>
          <w:b/>
          <w:bCs/>
          <w:i/>
          <w:iCs/>
        </w:rPr>
        <w:t xml:space="preserve">: </w:t>
      </w:r>
      <w:r>
        <w:rPr>
          <w:rFonts w:ascii="Arial" w:eastAsiaTheme="minorHAnsi" w:hAnsi="Arial" w:cs="Arial"/>
          <w:b/>
          <w:i/>
          <w:lang w:eastAsia="en-US"/>
        </w:rPr>
        <w:t>Закрытое акционерное общество «</w:t>
      </w:r>
      <w:r w:rsidRPr="00DA7310">
        <w:rPr>
          <w:rFonts w:ascii="Arial" w:eastAsiaTheme="minorHAnsi" w:hAnsi="Arial" w:cs="Arial"/>
          <w:b/>
          <w:i/>
          <w:lang w:eastAsia="en-US"/>
        </w:rPr>
        <w:t xml:space="preserve">Фондовая Биржа ММВБ» </w:t>
      </w:r>
    </w:p>
    <w:p w:rsidR="00DA7310" w:rsidRPr="00DA7310" w:rsidRDefault="00DA7310" w:rsidP="00DA7310">
      <w:pPr>
        <w:ind w:firstLine="540"/>
        <w:jc w:val="both"/>
        <w:rPr>
          <w:rFonts w:ascii="Arial" w:eastAsiaTheme="minorHAnsi" w:hAnsi="Arial" w:cs="Arial"/>
          <w:b/>
          <w:i/>
          <w:lang w:eastAsia="en-US"/>
        </w:rPr>
      </w:pPr>
      <w:r w:rsidRPr="00BF27C1">
        <w:t>Место нахождения</w:t>
      </w:r>
      <w:r>
        <w:t xml:space="preserve"> </w:t>
      </w:r>
      <w:r w:rsidRPr="00886DC8">
        <w:rPr>
          <w:rFonts w:eastAsiaTheme="minorHAnsi"/>
          <w:lang w:eastAsia="en-US"/>
        </w:rPr>
        <w:t>организатора торговли, через которого совершались сделки, на основании которых указываются сведения о динамике изменения цен на ценные бумаги</w:t>
      </w:r>
      <w:r w:rsidRPr="00BF27C1">
        <w:t xml:space="preserve">: </w:t>
      </w:r>
      <w:r w:rsidRPr="00DA7310">
        <w:rPr>
          <w:rFonts w:ascii="Arial" w:eastAsiaTheme="minorHAnsi" w:hAnsi="Arial" w:cs="Arial"/>
          <w:b/>
          <w:i/>
          <w:lang w:eastAsia="en-US"/>
        </w:rPr>
        <w:t>125009, г. Москва, Большой Кисловский переулок, д. 13</w:t>
      </w:r>
      <w:r w:rsidR="009C05F2">
        <w:rPr>
          <w:rFonts w:ascii="Arial" w:eastAsiaTheme="minorHAnsi" w:hAnsi="Arial" w:cs="Arial"/>
          <w:b/>
          <w:i/>
          <w:lang w:eastAsia="en-US"/>
        </w:rPr>
        <w:t>.</w:t>
      </w:r>
    </w:p>
    <w:p w:rsidR="00886DC8" w:rsidRPr="00886DC8" w:rsidRDefault="00886DC8" w:rsidP="00886DC8">
      <w:pPr>
        <w:widowControl/>
        <w:spacing w:before="0" w:after="0"/>
        <w:ind w:firstLine="540"/>
        <w:jc w:val="both"/>
        <w:rPr>
          <w:rFonts w:eastAsiaTheme="minorHAnsi"/>
          <w:lang w:eastAsia="en-US"/>
        </w:rPr>
      </w:pPr>
      <w:r w:rsidRPr="00886DC8">
        <w:rPr>
          <w:rFonts w:eastAsiaTheme="minorHAnsi"/>
          <w:lang w:eastAsia="en-US"/>
        </w:rPr>
        <w:t>В случае если ценные бумаги эмитента допущены к организованным торгам на двух или более организаторах торговли, выбор организатора торговли для целей раскрытия сведений о динамике изменения цен на ценные бумаги эмитента осуществляется эмите</w:t>
      </w:r>
      <w:r w:rsidR="00DA7310">
        <w:rPr>
          <w:rFonts w:eastAsiaTheme="minorHAnsi"/>
          <w:lang w:eastAsia="en-US"/>
        </w:rPr>
        <w:t>нтом по собственному усмотрению:</w:t>
      </w:r>
    </w:p>
    <w:p w:rsidR="00886DC8" w:rsidRPr="00DA7310" w:rsidRDefault="00DA7310" w:rsidP="00DA7310">
      <w:pPr>
        <w:widowControl/>
        <w:spacing w:before="0" w:after="0"/>
        <w:ind w:firstLine="567"/>
        <w:jc w:val="both"/>
        <w:rPr>
          <w:rFonts w:ascii="Arial" w:eastAsiaTheme="minorHAnsi" w:hAnsi="Arial" w:cs="Arial"/>
          <w:b/>
          <w:i/>
          <w:lang w:eastAsia="en-US"/>
        </w:rPr>
      </w:pPr>
      <w:r w:rsidRPr="00DA7310">
        <w:rPr>
          <w:rFonts w:ascii="Arial" w:eastAsiaTheme="minorHAnsi" w:hAnsi="Arial" w:cs="Arial"/>
          <w:b/>
          <w:i/>
          <w:lang w:eastAsia="en-US"/>
        </w:rPr>
        <w:t>Ценные бумаги Эмитента не допущены к организованным торгам на двух или более организаторах торговли</w:t>
      </w:r>
    </w:p>
    <w:p w:rsidR="00DA7310" w:rsidRPr="00886DC8" w:rsidRDefault="00DA7310" w:rsidP="00886DC8">
      <w:pPr>
        <w:widowControl/>
        <w:spacing w:before="0" w:after="0"/>
        <w:jc w:val="both"/>
        <w:rPr>
          <w:rFonts w:eastAsiaTheme="minorHAnsi"/>
          <w:lang w:eastAsia="en-US"/>
        </w:rPr>
      </w:pPr>
    </w:p>
    <w:p w:rsidR="00886DC8" w:rsidRPr="003A67A2" w:rsidRDefault="00886DC8" w:rsidP="00886DC8">
      <w:pPr>
        <w:widowControl/>
        <w:spacing w:before="0" w:after="0"/>
        <w:ind w:firstLine="540"/>
        <w:jc w:val="both"/>
        <w:outlineLvl w:val="1"/>
        <w:rPr>
          <w:rFonts w:ascii="Arial" w:eastAsiaTheme="minorHAnsi" w:hAnsi="Arial" w:cs="Arial"/>
          <w:b/>
          <w:i/>
          <w:sz w:val="28"/>
          <w:szCs w:val="28"/>
          <w:lang w:eastAsia="en-US"/>
        </w:rPr>
      </w:pPr>
      <w:bookmarkStart w:id="181" w:name="_Toc448251247"/>
      <w:r w:rsidRPr="003A67A2">
        <w:rPr>
          <w:rFonts w:ascii="Arial" w:eastAsiaTheme="minorHAnsi" w:hAnsi="Arial" w:cs="Arial"/>
          <w:b/>
          <w:i/>
          <w:sz w:val="28"/>
          <w:szCs w:val="28"/>
          <w:lang w:eastAsia="en-US"/>
        </w:rPr>
        <w:t>8.18. Сведения об организаторах торговли, на которых предполагается размещение и (или) обращение размещаемых эмиссионных ценных бумаг</w:t>
      </w:r>
      <w:bookmarkEnd w:id="181"/>
    </w:p>
    <w:p w:rsidR="00A936D6" w:rsidRDefault="00A936D6" w:rsidP="00886DC8">
      <w:pPr>
        <w:widowControl/>
        <w:spacing w:before="0" w:after="0"/>
        <w:ind w:firstLine="540"/>
        <w:jc w:val="both"/>
        <w:rPr>
          <w:rFonts w:eastAsiaTheme="minorHAnsi"/>
          <w:lang w:eastAsia="en-US"/>
        </w:rPr>
      </w:pPr>
    </w:p>
    <w:p w:rsidR="00886DC8" w:rsidRPr="00886DC8" w:rsidRDefault="00886DC8" w:rsidP="00886DC8">
      <w:pPr>
        <w:widowControl/>
        <w:spacing w:before="0" w:after="0"/>
        <w:ind w:firstLine="540"/>
        <w:jc w:val="both"/>
        <w:rPr>
          <w:rFonts w:eastAsiaTheme="minorHAnsi"/>
          <w:lang w:eastAsia="en-US"/>
        </w:rPr>
      </w:pPr>
      <w:r w:rsidRPr="00886DC8">
        <w:rPr>
          <w:rFonts w:eastAsiaTheme="minorHAnsi"/>
          <w:lang w:eastAsia="en-US"/>
        </w:rPr>
        <w:t>В случае размещения ценных бумаг посредством подписки путем проведения торгов, организатором которых является биржа или иной организатор торговли, указывается на это обстоятельство.</w:t>
      </w:r>
    </w:p>
    <w:p w:rsidR="00C6569A" w:rsidRDefault="00C6569A" w:rsidP="00886DC8">
      <w:pPr>
        <w:widowControl/>
        <w:spacing w:before="0" w:after="0"/>
        <w:ind w:firstLine="540"/>
        <w:jc w:val="both"/>
        <w:rPr>
          <w:rFonts w:eastAsiaTheme="minorHAnsi"/>
          <w:lang w:eastAsia="en-US"/>
        </w:rPr>
      </w:pPr>
    </w:p>
    <w:p w:rsidR="00C6569A" w:rsidRPr="00DB3416" w:rsidRDefault="00C6569A" w:rsidP="00312480">
      <w:pPr>
        <w:widowControl/>
        <w:spacing w:before="0" w:after="0"/>
        <w:ind w:firstLine="567"/>
        <w:jc w:val="both"/>
        <w:rPr>
          <w:rFonts w:ascii="Arial" w:eastAsiaTheme="minorHAnsi" w:hAnsi="Arial" w:cs="Arial"/>
          <w:b/>
          <w:i/>
          <w:lang w:eastAsia="en-US"/>
        </w:rPr>
      </w:pPr>
      <w:r w:rsidRPr="00DB3416">
        <w:rPr>
          <w:rFonts w:ascii="Arial" w:eastAsiaTheme="minorHAnsi" w:hAnsi="Arial" w:cs="Arial"/>
          <w:b/>
          <w:i/>
          <w:lang w:eastAsia="en-US"/>
        </w:rPr>
        <w:t>Размещение ценных бумаг будет происходить посредством подписки путем проведения торгов, организатором которых является биржа.</w:t>
      </w:r>
    </w:p>
    <w:p w:rsidR="002B1236" w:rsidRDefault="002B1236" w:rsidP="00312480">
      <w:pPr>
        <w:widowControl/>
        <w:spacing w:before="0" w:after="0"/>
        <w:ind w:firstLine="567"/>
        <w:jc w:val="both"/>
        <w:rPr>
          <w:rFonts w:ascii="Arial" w:eastAsiaTheme="minorHAnsi" w:hAnsi="Arial" w:cs="Arial"/>
          <w:b/>
          <w:i/>
          <w:u w:val="single"/>
          <w:lang w:eastAsia="en-US"/>
        </w:rPr>
      </w:pPr>
    </w:p>
    <w:p w:rsidR="00C6569A" w:rsidRPr="002B1236" w:rsidRDefault="00C6569A" w:rsidP="00312480">
      <w:pPr>
        <w:widowControl/>
        <w:spacing w:before="0" w:after="0"/>
        <w:ind w:firstLine="567"/>
        <w:jc w:val="both"/>
        <w:rPr>
          <w:rFonts w:ascii="Arial" w:eastAsiaTheme="minorHAnsi" w:hAnsi="Arial" w:cs="Arial"/>
          <w:b/>
          <w:i/>
          <w:u w:val="single"/>
          <w:lang w:eastAsia="en-US"/>
        </w:rPr>
      </w:pPr>
      <w:r w:rsidRPr="002B1236">
        <w:rPr>
          <w:rFonts w:ascii="Arial" w:eastAsiaTheme="minorHAnsi" w:hAnsi="Arial" w:cs="Arial"/>
          <w:b/>
          <w:i/>
          <w:u w:val="single"/>
          <w:lang w:eastAsia="en-US"/>
        </w:rPr>
        <w:t xml:space="preserve">Сведения о ФБ ММВБ: </w:t>
      </w:r>
    </w:p>
    <w:p w:rsidR="002B1236" w:rsidRDefault="002B1236" w:rsidP="00312480">
      <w:pPr>
        <w:spacing w:before="0" w:after="0"/>
        <w:ind w:firstLine="539"/>
        <w:jc w:val="both"/>
      </w:pPr>
    </w:p>
    <w:p w:rsidR="00C6569A" w:rsidRPr="00CA6914" w:rsidRDefault="00C6569A" w:rsidP="00312480">
      <w:pPr>
        <w:spacing w:before="0" w:after="0"/>
        <w:ind w:firstLine="539"/>
        <w:jc w:val="both"/>
        <w:rPr>
          <w:b/>
          <w:bCs/>
          <w:i/>
          <w:iCs/>
        </w:rPr>
      </w:pPr>
      <w:r w:rsidRPr="00CA6914">
        <w:t>Полное фирменное наименование</w:t>
      </w:r>
      <w:r w:rsidRPr="00CA6914">
        <w:rPr>
          <w:b/>
          <w:bCs/>
          <w:i/>
          <w:iCs/>
        </w:rPr>
        <w:t xml:space="preserve">: </w:t>
      </w:r>
      <w:r w:rsidRPr="00DB3416">
        <w:rPr>
          <w:rFonts w:ascii="Arial" w:eastAsiaTheme="minorHAnsi" w:hAnsi="Arial" w:cs="Arial"/>
          <w:b/>
          <w:i/>
          <w:lang w:eastAsia="en-US"/>
        </w:rPr>
        <w:t>Закрытое акционерное общество «Фондовая биржа ММВБ»</w:t>
      </w:r>
      <w:r w:rsidRPr="00CA6914">
        <w:rPr>
          <w:b/>
          <w:bCs/>
          <w:i/>
          <w:iCs/>
        </w:rPr>
        <w:t xml:space="preserve"> </w:t>
      </w:r>
    </w:p>
    <w:p w:rsidR="00C6569A" w:rsidRPr="00DB3416" w:rsidRDefault="00C6569A" w:rsidP="00312480">
      <w:pPr>
        <w:spacing w:before="0" w:after="0"/>
        <w:ind w:firstLine="539"/>
        <w:jc w:val="both"/>
        <w:rPr>
          <w:rFonts w:ascii="Arial" w:eastAsiaTheme="minorHAnsi" w:hAnsi="Arial" w:cs="Arial"/>
          <w:b/>
          <w:i/>
          <w:lang w:eastAsia="en-US"/>
        </w:rPr>
      </w:pPr>
      <w:r w:rsidRPr="00CA6914">
        <w:t>Сокращенное фирменное наименование</w:t>
      </w:r>
      <w:r w:rsidRPr="00CA6914">
        <w:rPr>
          <w:b/>
          <w:bCs/>
          <w:i/>
          <w:iCs/>
        </w:rPr>
        <w:t xml:space="preserve">: </w:t>
      </w:r>
      <w:r w:rsidRPr="00DB3416">
        <w:rPr>
          <w:rFonts w:ascii="Arial" w:eastAsiaTheme="minorHAnsi" w:hAnsi="Arial" w:cs="Arial"/>
          <w:b/>
          <w:i/>
          <w:lang w:eastAsia="en-US"/>
        </w:rPr>
        <w:t>ЗАО «ФБ ММВБ»</w:t>
      </w:r>
      <w:r w:rsidR="001B6D1E">
        <w:rPr>
          <w:rFonts w:ascii="Arial" w:eastAsiaTheme="minorHAnsi" w:hAnsi="Arial" w:cs="Arial"/>
          <w:b/>
          <w:i/>
          <w:lang w:eastAsia="en-US"/>
        </w:rPr>
        <w:t xml:space="preserve">, ЗАО </w:t>
      </w:r>
      <w:r w:rsidR="001B6D1E" w:rsidRPr="00DB3416">
        <w:rPr>
          <w:rFonts w:ascii="Arial" w:eastAsiaTheme="minorHAnsi" w:hAnsi="Arial" w:cs="Arial"/>
          <w:b/>
          <w:i/>
          <w:lang w:eastAsia="en-US"/>
        </w:rPr>
        <w:t>«Фондовая биржа ММВБ»</w:t>
      </w:r>
    </w:p>
    <w:p w:rsidR="00C6569A" w:rsidRPr="00DB3416" w:rsidRDefault="00C6569A" w:rsidP="00312480">
      <w:pPr>
        <w:spacing w:before="0" w:after="0"/>
        <w:ind w:firstLine="539"/>
        <w:jc w:val="both"/>
        <w:rPr>
          <w:rFonts w:ascii="Arial" w:eastAsiaTheme="minorHAnsi" w:hAnsi="Arial" w:cs="Arial"/>
          <w:b/>
          <w:i/>
          <w:lang w:eastAsia="en-US"/>
        </w:rPr>
      </w:pPr>
      <w:r w:rsidRPr="00CA6914">
        <w:t xml:space="preserve">Место нахождения: </w:t>
      </w:r>
      <w:r w:rsidRPr="00DB3416">
        <w:rPr>
          <w:rFonts w:ascii="Arial" w:eastAsiaTheme="minorHAnsi" w:hAnsi="Arial" w:cs="Arial"/>
          <w:b/>
          <w:i/>
          <w:lang w:eastAsia="en-US"/>
        </w:rPr>
        <w:t>Российская Федерация, 125009, г. Москва, Большой Кисловский переулок, дом 13</w:t>
      </w:r>
    </w:p>
    <w:p w:rsidR="00C6569A" w:rsidRPr="00DB3416" w:rsidRDefault="00C6569A" w:rsidP="00DA23DB">
      <w:pPr>
        <w:spacing w:before="0" w:after="0"/>
        <w:ind w:firstLine="539"/>
        <w:rPr>
          <w:rFonts w:ascii="Arial" w:eastAsiaTheme="minorHAnsi" w:hAnsi="Arial" w:cs="Arial"/>
          <w:b/>
          <w:i/>
          <w:lang w:eastAsia="en-US"/>
        </w:rPr>
      </w:pPr>
      <w:r w:rsidRPr="00CA6914">
        <w:t xml:space="preserve">Почтовый адрес: </w:t>
      </w:r>
      <w:r w:rsidRPr="00DB3416">
        <w:rPr>
          <w:rFonts w:ascii="Arial" w:eastAsiaTheme="minorHAnsi" w:hAnsi="Arial" w:cs="Arial"/>
          <w:b/>
          <w:i/>
          <w:lang w:eastAsia="en-US"/>
        </w:rPr>
        <w:t>Российская Федерация, 125009, г. Москва, Большой Кисловский переулок, дом 13</w:t>
      </w:r>
    </w:p>
    <w:p w:rsidR="00C6569A" w:rsidRPr="00DB3416" w:rsidRDefault="00C6569A" w:rsidP="00DA23DB">
      <w:pPr>
        <w:spacing w:before="0" w:after="0"/>
        <w:ind w:firstLine="539"/>
        <w:rPr>
          <w:rFonts w:ascii="Arial" w:eastAsiaTheme="minorHAnsi" w:hAnsi="Arial" w:cs="Arial"/>
          <w:b/>
          <w:i/>
          <w:lang w:eastAsia="en-US"/>
        </w:rPr>
      </w:pPr>
      <w:r w:rsidRPr="00CA6914">
        <w:t xml:space="preserve">Дата государственной регистрации: </w:t>
      </w:r>
      <w:r w:rsidRPr="00DB3416">
        <w:rPr>
          <w:rFonts w:ascii="Arial" w:eastAsiaTheme="minorHAnsi" w:hAnsi="Arial" w:cs="Arial"/>
          <w:b/>
          <w:i/>
          <w:lang w:eastAsia="en-US"/>
        </w:rPr>
        <w:t>02.12.2003</w:t>
      </w:r>
    </w:p>
    <w:p w:rsidR="00C6569A" w:rsidRPr="00DB3416" w:rsidRDefault="00C6569A" w:rsidP="00DA23DB">
      <w:pPr>
        <w:tabs>
          <w:tab w:val="left" w:pos="6090"/>
        </w:tabs>
        <w:spacing w:before="0" w:after="0"/>
        <w:ind w:firstLine="539"/>
        <w:rPr>
          <w:rFonts w:ascii="Arial" w:eastAsiaTheme="minorHAnsi" w:hAnsi="Arial" w:cs="Arial"/>
          <w:b/>
          <w:i/>
          <w:lang w:eastAsia="en-US"/>
        </w:rPr>
      </w:pPr>
      <w:r w:rsidRPr="00CA6914">
        <w:t xml:space="preserve">Регистрационный номер: </w:t>
      </w:r>
      <w:r w:rsidRPr="00DB3416">
        <w:rPr>
          <w:rFonts w:ascii="Arial" w:eastAsiaTheme="minorHAnsi" w:hAnsi="Arial" w:cs="Arial"/>
          <w:b/>
          <w:i/>
          <w:lang w:eastAsia="en-US"/>
        </w:rPr>
        <w:t>1037789012414</w:t>
      </w:r>
    </w:p>
    <w:p w:rsidR="00C6569A" w:rsidRPr="00DB3416" w:rsidRDefault="00C6569A" w:rsidP="00DA23DB">
      <w:pPr>
        <w:spacing w:before="0" w:after="0"/>
        <w:ind w:firstLine="539"/>
        <w:jc w:val="both"/>
        <w:rPr>
          <w:rFonts w:ascii="Arial" w:eastAsiaTheme="minorHAnsi" w:hAnsi="Arial" w:cs="Arial"/>
          <w:b/>
          <w:i/>
          <w:lang w:eastAsia="en-US"/>
        </w:rPr>
      </w:pPr>
      <w:r w:rsidRPr="00CA6914">
        <w:t xml:space="preserve">Наименование органа, осуществившего государственную регистрацию: </w:t>
      </w:r>
      <w:r w:rsidRPr="00DB3416">
        <w:rPr>
          <w:rFonts w:ascii="Arial" w:eastAsiaTheme="minorHAnsi" w:hAnsi="Arial" w:cs="Arial"/>
          <w:b/>
          <w:i/>
          <w:lang w:eastAsia="en-US"/>
        </w:rPr>
        <w:t>Межрайонная инспекция МНС России № 46 по г. Москве</w:t>
      </w:r>
    </w:p>
    <w:p w:rsidR="00C6569A" w:rsidRPr="00DB3416" w:rsidRDefault="00C6569A" w:rsidP="00DA23DB">
      <w:pPr>
        <w:tabs>
          <w:tab w:val="left" w:pos="6090"/>
        </w:tabs>
        <w:spacing w:before="0" w:after="0"/>
        <w:ind w:firstLine="539"/>
        <w:rPr>
          <w:rFonts w:ascii="Arial" w:eastAsiaTheme="minorHAnsi" w:hAnsi="Arial" w:cs="Arial"/>
          <w:b/>
          <w:i/>
          <w:lang w:eastAsia="en-US"/>
        </w:rPr>
      </w:pPr>
      <w:r w:rsidRPr="00CA6914">
        <w:t>Номер лицензии биржи:</w:t>
      </w:r>
      <w:r w:rsidRPr="00CA6914">
        <w:rPr>
          <w:b/>
          <w:bCs/>
          <w:i/>
          <w:iCs/>
        </w:rPr>
        <w:t xml:space="preserve"> </w:t>
      </w:r>
      <w:r w:rsidRPr="00DB3416">
        <w:rPr>
          <w:rFonts w:ascii="Arial" w:eastAsiaTheme="minorHAnsi" w:hAnsi="Arial" w:cs="Arial"/>
          <w:b/>
          <w:i/>
          <w:lang w:eastAsia="en-US"/>
        </w:rPr>
        <w:t>077-007</w:t>
      </w:r>
    </w:p>
    <w:p w:rsidR="00C6569A" w:rsidRPr="00DB3416" w:rsidRDefault="00C6569A" w:rsidP="00DA23DB">
      <w:pPr>
        <w:tabs>
          <w:tab w:val="left" w:pos="6090"/>
        </w:tabs>
        <w:spacing w:before="0" w:after="0"/>
        <w:ind w:firstLine="539"/>
        <w:rPr>
          <w:rFonts w:ascii="Arial" w:eastAsiaTheme="minorHAnsi" w:hAnsi="Arial" w:cs="Arial"/>
          <w:b/>
          <w:i/>
          <w:lang w:eastAsia="en-US"/>
        </w:rPr>
      </w:pPr>
      <w:r w:rsidRPr="00CA6914">
        <w:t>Дата выдачи:</w:t>
      </w:r>
      <w:r w:rsidRPr="00CA6914">
        <w:rPr>
          <w:b/>
          <w:bCs/>
          <w:i/>
          <w:iCs/>
        </w:rPr>
        <w:t xml:space="preserve"> </w:t>
      </w:r>
      <w:r w:rsidRPr="00DB3416">
        <w:rPr>
          <w:rFonts w:ascii="Arial" w:eastAsiaTheme="minorHAnsi" w:hAnsi="Arial" w:cs="Arial"/>
          <w:b/>
          <w:i/>
          <w:lang w:eastAsia="en-US"/>
        </w:rPr>
        <w:t>20.12.2013</w:t>
      </w:r>
    </w:p>
    <w:p w:rsidR="00C6569A" w:rsidRPr="00CA6914" w:rsidRDefault="00C6569A" w:rsidP="00DA23DB">
      <w:pPr>
        <w:tabs>
          <w:tab w:val="left" w:pos="6090"/>
        </w:tabs>
        <w:spacing w:before="0" w:after="0"/>
        <w:ind w:firstLine="539"/>
        <w:rPr>
          <w:b/>
          <w:bCs/>
          <w:i/>
          <w:iCs/>
        </w:rPr>
      </w:pPr>
      <w:r w:rsidRPr="00CA6914">
        <w:t>Срок действия:</w:t>
      </w:r>
      <w:r w:rsidRPr="00CA6914">
        <w:rPr>
          <w:b/>
          <w:bCs/>
          <w:i/>
          <w:iCs/>
        </w:rPr>
        <w:t xml:space="preserve"> </w:t>
      </w:r>
      <w:r w:rsidRPr="00DB3416">
        <w:rPr>
          <w:rFonts w:ascii="Arial" w:eastAsiaTheme="minorHAnsi" w:hAnsi="Arial" w:cs="Arial"/>
          <w:b/>
          <w:i/>
          <w:lang w:eastAsia="en-US"/>
        </w:rPr>
        <w:t>бессрочная</w:t>
      </w:r>
    </w:p>
    <w:p w:rsidR="00C6569A" w:rsidRPr="00DB3416" w:rsidRDefault="00C6569A" w:rsidP="00DA23DB">
      <w:pPr>
        <w:spacing w:before="0" w:after="0"/>
        <w:ind w:firstLine="539"/>
        <w:rPr>
          <w:rFonts w:ascii="Arial" w:eastAsiaTheme="minorHAnsi" w:hAnsi="Arial" w:cs="Arial"/>
          <w:b/>
          <w:i/>
          <w:lang w:eastAsia="en-US"/>
        </w:rPr>
      </w:pPr>
      <w:r w:rsidRPr="00CA6914">
        <w:t>Лицензирующий орган:</w:t>
      </w:r>
      <w:r w:rsidRPr="00CA6914">
        <w:rPr>
          <w:b/>
          <w:bCs/>
          <w:i/>
          <w:iCs/>
        </w:rPr>
        <w:t xml:space="preserve"> </w:t>
      </w:r>
      <w:r w:rsidRPr="00DB3416">
        <w:rPr>
          <w:rFonts w:ascii="Arial" w:eastAsiaTheme="minorHAnsi" w:hAnsi="Arial" w:cs="Arial"/>
          <w:b/>
          <w:i/>
          <w:lang w:eastAsia="en-US"/>
        </w:rPr>
        <w:t xml:space="preserve">Центральный Банк Российской Федерации (Банк России) </w:t>
      </w:r>
    </w:p>
    <w:p w:rsidR="00C6569A" w:rsidRPr="00DB3416" w:rsidRDefault="00C6569A" w:rsidP="00DB3416">
      <w:pPr>
        <w:widowControl/>
        <w:spacing w:before="0" w:after="0"/>
        <w:ind w:firstLine="567"/>
        <w:jc w:val="both"/>
        <w:rPr>
          <w:rFonts w:ascii="Arial" w:eastAsiaTheme="minorHAnsi" w:hAnsi="Arial" w:cs="Arial"/>
          <w:b/>
          <w:i/>
          <w:lang w:eastAsia="en-US"/>
        </w:rPr>
      </w:pPr>
      <w:r w:rsidRPr="00DB3416">
        <w:rPr>
          <w:rFonts w:ascii="Arial" w:eastAsiaTheme="minorHAnsi" w:hAnsi="Arial" w:cs="Arial"/>
          <w:b/>
          <w:i/>
          <w:lang w:eastAsia="en-US"/>
        </w:rPr>
        <w:t>В случае если потенциальный покупатель не является участником торгов Биржи (далее – «Участник торгов»), он должен заключить соответствующий договор с любым Участником торгов, и дать ему поручение на приобретение Биржевых облигаций. Потенциальный покупатель Биржевых облигаций, являющийся Участником торгов, действует самостоятельно.</w:t>
      </w:r>
    </w:p>
    <w:p w:rsidR="00C6569A" w:rsidRPr="00DB3416" w:rsidRDefault="00C6569A" w:rsidP="00DB3416">
      <w:pPr>
        <w:widowControl/>
        <w:spacing w:before="0" w:after="0"/>
        <w:ind w:firstLine="567"/>
        <w:jc w:val="both"/>
        <w:rPr>
          <w:rFonts w:ascii="Arial" w:eastAsiaTheme="minorHAnsi" w:hAnsi="Arial" w:cs="Arial"/>
          <w:b/>
          <w:i/>
          <w:lang w:eastAsia="en-US"/>
        </w:rPr>
      </w:pPr>
      <w:r w:rsidRPr="00DB3416">
        <w:rPr>
          <w:rFonts w:ascii="Arial" w:eastAsiaTheme="minorHAnsi" w:hAnsi="Arial" w:cs="Arial"/>
          <w:b/>
          <w:i/>
          <w:lang w:eastAsia="en-US"/>
        </w:rPr>
        <w:t>Для совершения сделки купли-продажи Биржевых облигаций при их размещении потенциальный покупатель обязан заранее (до даты начала размещения Биржевых облигаций) открыть соответствующий счёт депо в НРД, осуществляющим централизованное хранение Биржевых облигаций, или в ином Депозитарии. Порядок и сроки открытия счетов депо определяются положениями регламентов соответствующих депозитариев.</w:t>
      </w:r>
    </w:p>
    <w:p w:rsidR="00C6569A" w:rsidRPr="00DB3416" w:rsidRDefault="00C6569A" w:rsidP="00DB3416">
      <w:pPr>
        <w:widowControl/>
        <w:spacing w:before="0" w:after="0"/>
        <w:ind w:firstLine="567"/>
        <w:jc w:val="both"/>
        <w:rPr>
          <w:rFonts w:ascii="Arial" w:eastAsiaTheme="minorHAnsi" w:hAnsi="Arial" w:cs="Arial"/>
          <w:b/>
          <w:i/>
          <w:lang w:eastAsia="en-US"/>
        </w:rPr>
      </w:pPr>
      <w:r w:rsidRPr="00DB3416">
        <w:rPr>
          <w:rFonts w:ascii="Arial" w:eastAsiaTheme="minorHAnsi" w:hAnsi="Arial" w:cs="Arial"/>
          <w:b/>
          <w:i/>
          <w:lang w:eastAsia="en-US"/>
        </w:rPr>
        <w:t>Изменение и/или расторжение договоров, заключенных при размещении Биржевых облигаций, осуществляется по основаниям и в порядке, предусмотренном гл. 29 Гражданского кодекса Российской Федерации.</w:t>
      </w:r>
    </w:p>
    <w:p w:rsidR="00C6569A" w:rsidRPr="00DB3416" w:rsidRDefault="00C6569A" w:rsidP="00DB3416">
      <w:pPr>
        <w:widowControl/>
        <w:spacing w:before="0" w:after="0"/>
        <w:ind w:firstLine="567"/>
        <w:jc w:val="both"/>
        <w:rPr>
          <w:rFonts w:ascii="Arial" w:eastAsiaTheme="minorHAnsi" w:hAnsi="Arial" w:cs="Arial"/>
          <w:b/>
          <w:i/>
          <w:lang w:eastAsia="en-US"/>
        </w:rPr>
      </w:pPr>
      <w:r w:rsidRPr="00DB3416">
        <w:rPr>
          <w:rFonts w:ascii="Arial" w:eastAsiaTheme="minorHAnsi" w:hAnsi="Arial" w:cs="Arial"/>
          <w:b/>
          <w:i/>
          <w:lang w:eastAsia="en-US"/>
        </w:rPr>
        <w:t>Торги проводятся в соответствии с правилами Биржи, зарегистрированными в установленном порядке.</w:t>
      </w:r>
    </w:p>
    <w:p w:rsidR="00C6569A" w:rsidRDefault="00C6569A" w:rsidP="00886DC8">
      <w:pPr>
        <w:widowControl/>
        <w:spacing w:before="0" w:after="0"/>
        <w:ind w:firstLine="540"/>
        <w:jc w:val="both"/>
        <w:rPr>
          <w:rFonts w:eastAsiaTheme="minorHAnsi"/>
          <w:lang w:eastAsia="en-US"/>
        </w:rPr>
      </w:pPr>
    </w:p>
    <w:p w:rsidR="00084908" w:rsidRPr="00084908" w:rsidRDefault="00886DC8" w:rsidP="002B1236">
      <w:pPr>
        <w:ind w:firstLine="567"/>
        <w:jc w:val="both"/>
        <w:rPr>
          <w:rFonts w:ascii="Arial" w:eastAsiaTheme="minorHAnsi" w:hAnsi="Arial" w:cs="Arial"/>
          <w:b/>
          <w:i/>
          <w:lang w:eastAsia="en-US"/>
        </w:rPr>
      </w:pPr>
      <w:r w:rsidRPr="00886DC8">
        <w:rPr>
          <w:rFonts w:eastAsiaTheme="minorHAnsi"/>
          <w:lang w:eastAsia="en-US"/>
        </w:rPr>
        <w:t>В случае если эмитент предполагает обратиться к бирже или иному организатору торговли с заявлением (заявкой) о допуске размещаемых ценных бумаг к организованным торгам, указывается на это обстоятельство, а также приводится предполагаемый срок обращения эмитен</w:t>
      </w:r>
      <w:r w:rsidR="00084908">
        <w:rPr>
          <w:rFonts w:eastAsiaTheme="minorHAnsi"/>
          <w:lang w:eastAsia="en-US"/>
        </w:rPr>
        <w:t xml:space="preserve">та с таким заявлением (заявкой): </w:t>
      </w:r>
      <w:r w:rsidR="00084908" w:rsidRPr="00084908">
        <w:rPr>
          <w:rFonts w:ascii="Arial" w:eastAsiaTheme="minorHAnsi" w:hAnsi="Arial" w:cs="Arial"/>
          <w:b/>
          <w:i/>
          <w:lang w:eastAsia="en-US"/>
        </w:rPr>
        <w:t>Эмитент предполагает обратиться ЗАО «ФБ ММВБ» для допуска размещаемых ценных бумаг к обращению через этого организатора торговли на рынке ценных бумаг. Предполагаемый срок обращения Эмитента с заявлением (заявкой) о допуске размещаемых ценных бумаг к организованным торгам – в течение срока действия Программы облигаций.</w:t>
      </w:r>
    </w:p>
    <w:p w:rsidR="00886DC8" w:rsidRPr="00886DC8" w:rsidRDefault="00886DC8" w:rsidP="002B1236">
      <w:pPr>
        <w:ind w:firstLine="567"/>
        <w:rPr>
          <w:rFonts w:eastAsiaTheme="minorHAnsi"/>
          <w:lang w:eastAsia="en-US"/>
        </w:rPr>
      </w:pPr>
    </w:p>
    <w:p w:rsidR="00886DC8" w:rsidRPr="00084908" w:rsidRDefault="00886DC8" w:rsidP="002B1236">
      <w:pPr>
        <w:widowControl/>
        <w:spacing w:before="0" w:after="0"/>
        <w:ind w:firstLine="567"/>
        <w:jc w:val="both"/>
        <w:rPr>
          <w:rFonts w:ascii="Arial" w:eastAsiaTheme="minorHAnsi" w:hAnsi="Arial" w:cs="Arial"/>
          <w:b/>
          <w:i/>
          <w:lang w:eastAsia="en-US"/>
        </w:rPr>
      </w:pPr>
      <w:r w:rsidRPr="00886DC8">
        <w:rPr>
          <w:rFonts w:eastAsiaTheme="minorHAnsi"/>
          <w:lang w:eastAsia="en-US"/>
        </w:rPr>
        <w:t>Раскрываются иные сведения о биржах или иных организаторах торговли, на которых предполагается размещение и (или) обращение размещаемых ценных бумаг, указываемые эмите</w:t>
      </w:r>
      <w:r w:rsidR="00084908">
        <w:rPr>
          <w:rFonts w:eastAsiaTheme="minorHAnsi"/>
          <w:lang w:eastAsia="en-US"/>
        </w:rPr>
        <w:t xml:space="preserve">нтом по собственному усмотрению: </w:t>
      </w:r>
      <w:r w:rsidR="00084908" w:rsidRPr="00084908">
        <w:rPr>
          <w:rFonts w:ascii="Arial" w:eastAsiaTheme="minorHAnsi" w:hAnsi="Arial" w:cs="Arial"/>
          <w:b/>
          <w:i/>
          <w:lang w:eastAsia="en-US"/>
        </w:rPr>
        <w:t>иные сведения отсутствуют</w:t>
      </w:r>
      <w:r w:rsidR="00084908">
        <w:rPr>
          <w:rFonts w:ascii="Arial" w:eastAsiaTheme="minorHAnsi" w:hAnsi="Arial" w:cs="Arial"/>
          <w:b/>
          <w:i/>
          <w:lang w:eastAsia="en-US"/>
        </w:rPr>
        <w:t>.</w:t>
      </w:r>
    </w:p>
    <w:p w:rsidR="00886DC8" w:rsidRPr="00886DC8" w:rsidRDefault="00886DC8" w:rsidP="00886DC8">
      <w:pPr>
        <w:widowControl/>
        <w:spacing w:before="0" w:after="0"/>
        <w:jc w:val="both"/>
        <w:rPr>
          <w:rFonts w:eastAsiaTheme="minorHAnsi"/>
          <w:lang w:eastAsia="en-US"/>
        </w:rPr>
      </w:pPr>
    </w:p>
    <w:p w:rsidR="00886DC8" w:rsidRPr="003A67A2" w:rsidRDefault="00886DC8" w:rsidP="00886DC8">
      <w:pPr>
        <w:widowControl/>
        <w:spacing w:before="0" w:after="0"/>
        <w:ind w:firstLine="540"/>
        <w:jc w:val="both"/>
        <w:outlineLvl w:val="1"/>
        <w:rPr>
          <w:rFonts w:ascii="Arial" w:eastAsiaTheme="minorHAnsi" w:hAnsi="Arial" w:cs="Arial"/>
          <w:b/>
          <w:i/>
          <w:sz w:val="28"/>
          <w:szCs w:val="28"/>
          <w:lang w:eastAsia="en-US"/>
        </w:rPr>
      </w:pPr>
      <w:bookmarkStart w:id="182" w:name="_Toc448251248"/>
      <w:r w:rsidRPr="003A67A2">
        <w:rPr>
          <w:rFonts w:ascii="Arial" w:eastAsiaTheme="minorHAnsi" w:hAnsi="Arial" w:cs="Arial"/>
          <w:b/>
          <w:i/>
          <w:sz w:val="28"/>
          <w:szCs w:val="28"/>
          <w:lang w:eastAsia="en-US"/>
        </w:rPr>
        <w:t>8.19. Иные сведения о размещаемых ценных бумагах</w:t>
      </w:r>
      <w:bookmarkEnd w:id="182"/>
    </w:p>
    <w:p w:rsidR="00A936D6" w:rsidRDefault="00A936D6" w:rsidP="00886DC8">
      <w:pPr>
        <w:widowControl/>
        <w:spacing w:before="0" w:after="0"/>
        <w:ind w:firstLine="540"/>
        <w:jc w:val="both"/>
        <w:rPr>
          <w:rFonts w:eastAsiaTheme="minorHAnsi"/>
          <w:lang w:eastAsia="en-US"/>
        </w:rPr>
      </w:pPr>
    </w:p>
    <w:p w:rsidR="00886DC8" w:rsidRDefault="00886DC8" w:rsidP="00886DC8">
      <w:pPr>
        <w:widowControl/>
        <w:spacing w:before="0" w:after="0"/>
        <w:ind w:firstLine="540"/>
        <w:jc w:val="both"/>
        <w:rPr>
          <w:rFonts w:eastAsiaTheme="minorHAnsi"/>
          <w:lang w:eastAsia="en-US"/>
        </w:rPr>
      </w:pPr>
      <w:r w:rsidRPr="00886DC8">
        <w:rPr>
          <w:rFonts w:eastAsiaTheme="minorHAnsi"/>
          <w:lang w:eastAsia="en-US"/>
        </w:rPr>
        <w:t>Раскрываются иные сведения о размещаемых ценных бумагах, об условиях и о порядке их размещения, указываемые эмитентом по собственному усмотрению.</w:t>
      </w:r>
    </w:p>
    <w:p w:rsidR="00A936D6" w:rsidRDefault="00A936D6" w:rsidP="002B1236">
      <w:pPr>
        <w:pStyle w:val="Default"/>
        <w:ind w:firstLine="567"/>
        <w:jc w:val="both"/>
        <w:rPr>
          <w:b/>
          <w:bCs/>
          <w:i/>
          <w:iCs/>
          <w:color w:val="auto"/>
          <w:sz w:val="22"/>
          <w:szCs w:val="22"/>
        </w:rPr>
      </w:pPr>
    </w:p>
    <w:p w:rsidR="00A936D6" w:rsidRPr="00A936D6" w:rsidRDefault="00A936D6" w:rsidP="002B1236">
      <w:pPr>
        <w:pStyle w:val="Default"/>
        <w:ind w:firstLine="567"/>
        <w:jc w:val="both"/>
        <w:rPr>
          <w:rFonts w:ascii="Arial" w:hAnsi="Arial" w:cs="Arial"/>
          <w:color w:val="auto"/>
          <w:sz w:val="20"/>
          <w:szCs w:val="20"/>
        </w:rPr>
      </w:pPr>
      <w:r w:rsidRPr="00A936D6">
        <w:rPr>
          <w:rFonts w:ascii="Arial" w:hAnsi="Arial" w:cs="Arial"/>
          <w:b/>
          <w:bCs/>
          <w:i/>
          <w:iCs/>
          <w:color w:val="auto"/>
          <w:sz w:val="20"/>
          <w:szCs w:val="20"/>
        </w:rPr>
        <w:t xml:space="preserve">1. Размещение Биржевых облигаций может осуществляться только на торгах биржи. Обращение Биржевых облигаций может осуществляться на биржевом и внебиржевом рынках. </w:t>
      </w:r>
    </w:p>
    <w:p w:rsidR="00A936D6" w:rsidRPr="00A936D6" w:rsidRDefault="00A936D6" w:rsidP="002B1236">
      <w:pPr>
        <w:pStyle w:val="Default"/>
        <w:ind w:firstLine="567"/>
        <w:jc w:val="both"/>
        <w:rPr>
          <w:rFonts w:ascii="Arial" w:hAnsi="Arial" w:cs="Arial"/>
          <w:color w:val="auto"/>
          <w:sz w:val="20"/>
          <w:szCs w:val="20"/>
        </w:rPr>
      </w:pPr>
      <w:r w:rsidRPr="00A936D6">
        <w:rPr>
          <w:rFonts w:ascii="Arial" w:hAnsi="Arial" w:cs="Arial"/>
          <w:b/>
          <w:bCs/>
          <w:i/>
          <w:iCs/>
          <w:color w:val="auto"/>
          <w:sz w:val="20"/>
          <w:szCs w:val="20"/>
        </w:rPr>
        <w:t xml:space="preserve">Обращение Биржевых облигаций до их полной оплаты запрещается. </w:t>
      </w:r>
    </w:p>
    <w:p w:rsidR="00A936D6" w:rsidRPr="00A936D6" w:rsidRDefault="00A936D6" w:rsidP="002B1236">
      <w:pPr>
        <w:pStyle w:val="Default"/>
        <w:ind w:firstLine="567"/>
        <w:jc w:val="both"/>
        <w:rPr>
          <w:rFonts w:ascii="Arial" w:hAnsi="Arial" w:cs="Arial"/>
          <w:color w:val="auto"/>
          <w:sz w:val="20"/>
          <w:szCs w:val="20"/>
        </w:rPr>
      </w:pPr>
      <w:r w:rsidRPr="00A936D6">
        <w:rPr>
          <w:rFonts w:ascii="Arial" w:hAnsi="Arial" w:cs="Arial"/>
          <w:b/>
          <w:bCs/>
          <w:i/>
          <w:iCs/>
          <w:color w:val="auto"/>
          <w:sz w:val="20"/>
          <w:szCs w:val="20"/>
        </w:rPr>
        <w:t xml:space="preserve">Нерезиденты могут приобретать Биржевые облигации в соответствии с действующим законодательством и нормативными актами Российской Федерации. </w:t>
      </w:r>
    </w:p>
    <w:p w:rsidR="00A936D6" w:rsidRPr="00A936D6" w:rsidRDefault="00A936D6" w:rsidP="002B1236">
      <w:pPr>
        <w:pStyle w:val="Default"/>
        <w:ind w:firstLine="567"/>
        <w:jc w:val="both"/>
        <w:rPr>
          <w:rFonts w:ascii="Arial" w:hAnsi="Arial" w:cs="Arial"/>
          <w:color w:val="auto"/>
          <w:sz w:val="20"/>
          <w:szCs w:val="20"/>
        </w:rPr>
      </w:pPr>
      <w:r w:rsidRPr="00A936D6">
        <w:rPr>
          <w:rFonts w:ascii="Arial" w:hAnsi="Arial" w:cs="Arial"/>
          <w:b/>
          <w:bCs/>
          <w:i/>
          <w:iCs/>
          <w:color w:val="auto"/>
          <w:sz w:val="20"/>
          <w:szCs w:val="20"/>
        </w:rPr>
        <w:t xml:space="preserve">На биржевом рынке Биржевые облигации обращаются с изъятиями, установленными организаторами торговли. </w:t>
      </w:r>
    </w:p>
    <w:p w:rsidR="00A936D6" w:rsidRPr="00A936D6" w:rsidRDefault="00A936D6" w:rsidP="002B1236">
      <w:pPr>
        <w:pStyle w:val="Default"/>
        <w:ind w:firstLine="567"/>
        <w:jc w:val="both"/>
        <w:rPr>
          <w:rFonts w:ascii="Arial" w:hAnsi="Arial" w:cs="Arial"/>
          <w:b/>
          <w:bCs/>
          <w:i/>
          <w:iCs/>
          <w:color w:val="auto"/>
          <w:sz w:val="20"/>
          <w:szCs w:val="20"/>
        </w:rPr>
      </w:pPr>
    </w:p>
    <w:p w:rsidR="00A936D6" w:rsidRPr="00A936D6" w:rsidRDefault="00A936D6" w:rsidP="002B1236">
      <w:pPr>
        <w:pStyle w:val="Default"/>
        <w:ind w:firstLine="567"/>
        <w:jc w:val="both"/>
        <w:rPr>
          <w:rFonts w:ascii="Arial" w:hAnsi="Arial" w:cs="Arial"/>
          <w:color w:val="auto"/>
          <w:sz w:val="20"/>
          <w:szCs w:val="20"/>
        </w:rPr>
      </w:pPr>
      <w:r w:rsidRPr="00A936D6">
        <w:rPr>
          <w:rFonts w:ascii="Arial" w:hAnsi="Arial" w:cs="Arial"/>
          <w:b/>
          <w:bCs/>
          <w:i/>
          <w:iCs/>
          <w:color w:val="auto"/>
          <w:sz w:val="20"/>
          <w:szCs w:val="20"/>
        </w:rPr>
        <w:t xml:space="preserve">2. В любой день между датой начала размещения и датой погашения выпуска величина накопленного купонного дохода (НКД) по Биржевой облигации рассчитывается по следующей формуле: </w:t>
      </w:r>
    </w:p>
    <w:p w:rsidR="00A936D6" w:rsidRPr="00A936D6" w:rsidRDefault="00A936D6" w:rsidP="002B1236">
      <w:pPr>
        <w:pStyle w:val="Default"/>
        <w:ind w:firstLine="567"/>
        <w:jc w:val="both"/>
        <w:rPr>
          <w:rFonts w:ascii="Arial" w:hAnsi="Arial" w:cs="Arial"/>
          <w:color w:val="auto"/>
          <w:sz w:val="20"/>
          <w:szCs w:val="20"/>
        </w:rPr>
      </w:pPr>
      <w:r w:rsidRPr="00A936D6">
        <w:rPr>
          <w:rFonts w:ascii="Arial" w:hAnsi="Arial" w:cs="Arial"/>
          <w:b/>
          <w:bCs/>
          <w:i/>
          <w:iCs/>
          <w:color w:val="auto"/>
          <w:sz w:val="20"/>
          <w:szCs w:val="20"/>
        </w:rPr>
        <w:t xml:space="preserve">НКД = Nom * Cj * (Т - T(j-1))/365/100%, где </w:t>
      </w:r>
    </w:p>
    <w:p w:rsidR="00A936D6" w:rsidRPr="00A936D6" w:rsidRDefault="00A936D6" w:rsidP="002B1236">
      <w:pPr>
        <w:pStyle w:val="Default"/>
        <w:ind w:firstLine="567"/>
        <w:jc w:val="both"/>
        <w:rPr>
          <w:rFonts w:ascii="Arial" w:hAnsi="Arial" w:cs="Arial"/>
          <w:color w:val="auto"/>
          <w:sz w:val="20"/>
          <w:szCs w:val="20"/>
        </w:rPr>
      </w:pPr>
      <w:r w:rsidRPr="00A936D6">
        <w:rPr>
          <w:rFonts w:ascii="Arial" w:hAnsi="Arial" w:cs="Arial"/>
          <w:b/>
          <w:bCs/>
          <w:i/>
          <w:iCs/>
          <w:color w:val="auto"/>
          <w:sz w:val="20"/>
          <w:szCs w:val="20"/>
        </w:rPr>
        <w:t xml:space="preserve">НКД - накопленный купонный доход, руб.; </w:t>
      </w:r>
    </w:p>
    <w:p w:rsidR="00A936D6" w:rsidRPr="00A936D6" w:rsidRDefault="00A936D6" w:rsidP="002B1236">
      <w:pPr>
        <w:pStyle w:val="Default"/>
        <w:ind w:firstLine="567"/>
        <w:jc w:val="both"/>
        <w:rPr>
          <w:rFonts w:ascii="Arial" w:hAnsi="Arial" w:cs="Arial"/>
          <w:color w:val="auto"/>
          <w:sz w:val="20"/>
          <w:szCs w:val="20"/>
        </w:rPr>
      </w:pPr>
      <w:r w:rsidRPr="00A936D6">
        <w:rPr>
          <w:rFonts w:ascii="Arial" w:hAnsi="Arial" w:cs="Arial"/>
          <w:b/>
          <w:bCs/>
          <w:i/>
          <w:iCs/>
          <w:color w:val="auto"/>
          <w:sz w:val="20"/>
          <w:szCs w:val="20"/>
        </w:rPr>
        <w:t xml:space="preserve">j - порядковый номер текущего купонного периода; </w:t>
      </w:r>
    </w:p>
    <w:p w:rsidR="00A936D6" w:rsidRPr="00A936D6" w:rsidRDefault="00A936D6" w:rsidP="002B1236">
      <w:pPr>
        <w:pStyle w:val="Default"/>
        <w:ind w:firstLine="567"/>
        <w:jc w:val="both"/>
        <w:rPr>
          <w:rFonts w:ascii="Arial" w:hAnsi="Arial" w:cs="Arial"/>
          <w:color w:val="auto"/>
          <w:sz w:val="20"/>
          <w:szCs w:val="20"/>
        </w:rPr>
      </w:pPr>
      <w:r w:rsidRPr="00A936D6">
        <w:rPr>
          <w:rFonts w:ascii="Arial" w:hAnsi="Arial" w:cs="Arial"/>
          <w:b/>
          <w:bCs/>
          <w:i/>
          <w:iCs/>
          <w:color w:val="auto"/>
          <w:sz w:val="20"/>
          <w:szCs w:val="20"/>
        </w:rPr>
        <w:t xml:space="preserve">Nom –непогашенная часть номинальной стоимости одной Биржевой облигации на дату расчета НКД, руб.; </w:t>
      </w:r>
    </w:p>
    <w:p w:rsidR="00A936D6" w:rsidRPr="00A936D6" w:rsidRDefault="00A936D6" w:rsidP="002B1236">
      <w:pPr>
        <w:pStyle w:val="Default"/>
        <w:ind w:firstLine="567"/>
        <w:jc w:val="both"/>
        <w:rPr>
          <w:rFonts w:ascii="Arial" w:hAnsi="Arial" w:cs="Arial"/>
          <w:color w:val="auto"/>
          <w:sz w:val="20"/>
          <w:szCs w:val="20"/>
        </w:rPr>
      </w:pPr>
      <w:r w:rsidRPr="00A936D6">
        <w:rPr>
          <w:rFonts w:ascii="Arial" w:hAnsi="Arial" w:cs="Arial"/>
          <w:b/>
          <w:bCs/>
          <w:i/>
          <w:iCs/>
          <w:color w:val="auto"/>
          <w:sz w:val="20"/>
          <w:szCs w:val="20"/>
        </w:rPr>
        <w:t xml:space="preserve">Cj - размер процентной ставки j - того купона в процентах годовых (%); </w:t>
      </w:r>
    </w:p>
    <w:p w:rsidR="00A936D6" w:rsidRPr="00A936D6" w:rsidRDefault="00A936D6" w:rsidP="002B1236">
      <w:pPr>
        <w:pStyle w:val="Default"/>
        <w:ind w:firstLine="567"/>
        <w:jc w:val="both"/>
        <w:rPr>
          <w:rFonts w:ascii="Arial" w:hAnsi="Arial" w:cs="Arial"/>
          <w:color w:val="auto"/>
          <w:sz w:val="20"/>
          <w:szCs w:val="20"/>
        </w:rPr>
      </w:pPr>
      <w:r w:rsidRPr="00A936D6">
        <w:rPr>
          <w:rFonts w:ascii="Arial" w:hAnsi="Arial" w:cs="Arial"/>
          <w:b/>
          <w:bCs/>
          <w:i/>
          <w:iCs/>
          <w:color w:val="auto"/>
          <w:sz w:val="20"/>
          <w:szCs w:val="20"/>
        </w:rPr>
        <w:t xml:space="preserve">Т - дата расчета накопленного купонного дохода внутри j - купонного периода; </w:t>
      </w:r>
    </w:p>
    <w:p w:rsidR="00A936D6" w:rsidRPr="00A936D6" w:rsidRDefault="00A936D6" w:rsidP="002B1236">
      <w:pPr>
        <w:pStyle w:val="Default"/>
        <w:ind w:firstLine="567"/>
        <w:jc w:val="both"/>
        <w:rPr>
          <w:rFonts w:ascii="Arial" w:hAnsi="Arial" w:cs="Arial"/>
          <w:color w:val="auto"/>
          <w:sz w:val="20"/>
          <w:szCs w:val="20"/>
        </w:rPr>
      </w:pPr>
      <w:r w:rsidRPr="00A936D6">
        <w:rPr>
          <w:rFonts w:ascii="Arial" w:hAnsi="Arial" w:cs="Arial"/>
          <w:b/>
          <w:bCs/>
          <w:i/>
          <w:iCs/>
          <w:color w:val="auto"/>
          <w:sz w:val="20"/>
          <w:szCs w:val="20"/>
        </w:rPr>
        <w:t xml:space="preserve">T(j-1) - дата начала купонного периода j - того купона (для случая первого купонного периода Т(j-1) – это дата начала размещения Биржевых облигаций). </w:t>
      </w:r>
    </w:p>
    <w:p w:rsidR="00A936D6" w:rsidRPr="00A936D6" w:rsidRDefault="00A936D6" w:rsidP="002B1236">
      <w:pPr>
        <w:pStyle w:val="Default"/>
        <w:ind w:firstLine="567"/>
        <w:jc w:val="both"/>
        <w:rPr>
          <w:rFonts w:ascii="Arial" w:hAnsi="Arial" w:cs="Arial"/>
          <w:color w:val="auto"/>
          <w:sz w:val="20"/>
          <w:szCs w:val="20"/>
        </w:rPr>
      </w:pPr>
      <w:r w:rsidRPr="00A936D6">
        <w:rPr>
          <w:rFonts w:ascii="Arial" w:hAnsi="Arial" w:cs="Arial"/>
          <w:b/>
          <w:bCs/>
          <w:i/>
          <w:iCs/>
          <w:color w:val="auto"/>
          <w:sz w:val="20"/>
          <w:szCs w:val="20"/>
        </w:rPr>
        <w:t xml:space="preserve">Величина накопленного купонного дохода рассчитывается с точностью до одной копейки (округление производится по правилам математического округления, а именно: в случае, если третий знак после запятой больше или равен 5, второй знак после запятой увеличивается на единицу, в случае, если третий знак после запятой меньше 5, второй знак после запятой не изменяется). </w:t>
      </w:r>
    </w:p>
    <w:p w:rsidR="00A936D6" w:rsidRPr="00A936D6" w:rsidRDefault="00A936D6" w:rsidP="002B1236">
      <w:pPr>
        <w:pStyle w:val="Default"/>
        <w:ind w:firstLine="567"/>
        <w:jc w:val="both"/>
        <w:rPr>
          <w:rFonts w:ascii="Arial" w:hAnsi="Arial" w:cs="Arial"/>
          <w:b/>
          <w:bCs/>
          <w:i/>
          <w:iCs/>
          <w:color w:val="auto"/>
          <w:sz w:val="20"/>
          <w:szCs w:val="20"/>
        </w:rPr>
      </w:pPr>
    </w:p>
    <w:p w:rsidR="00A936D6" w:rsidRPr="00A936D6" w:rsidRDefault="00A936D6" w:rsidP="002B1236">
      <w:pPr>
        <w:pStyle w:val="Default"/>
        <w:ind w:firstLine="567"/>
        <w:jc w:val="both"/>
        <w:rPr>
          <w:rFonts w:ascii="Arial" w:hAnsi="Arial" w:cs="Arial"/>
          <w:color w:val="auto"/>
          <w:sz w:val="20"/>
          <w:szCs w:val="20"/>
        </w:rPr>
      </w:pPr>
      <w:r w:rsidRPr="00A936D6">
        <w:rPr>
          <w:rFonts w:ascii="Arial" w:hAnsi="Arial" w:cs="Arial"/>
          <w:b/>
          <w:bCs/>
          <w:i/>
          <w:iCs/>
          <w:color w:val="auto"/>
          <w:sz w:val="20"/>
          <w:szCs w:val="20"/>
        </w:rPr>
        <w:t>3. В случае если на момент принятия Эмитентом решения о событиях на этапах эмиссии и обращения Биржевых облигаций и иных событиях, описанных в Программе биржевых облигаций и Проспекте ценных бумаг, в соответствии с действующим законодательством Российской Федерации и/или нормативными актами в сфере финансовых рынков, будет установлен иной порядок и сроки принятия Эмитентом решения об указанных событиях, нежели порядок и сроки, предусмотренные Программой биржевых облигаций</w:t>
      </w:r>
      <w:r w:rsidR="004F36AA">
        <w:rPr>
          <w:rFonts w:ascii="Arial" w:hAnsi="Arial" w:cs="Arial"/>
          <w:b/>
          <w:bCs/>
          <w:i/>
          <w:iCs/>
          <w:color w:val="auto"/>
          <w:sz w:val="20"/>
          <w:szCs w:val="20"/>
        </w:rPr>
        <w:t xml:space="preserve"> и Проспектом ценны</w:t>
      </w:r>
      <w:r w:rsidR="008506F2">
        <w:rPr>
          <w:rFonts w:ascii="Arial" w:hAnsi="Arial" w:cs="Arial"/>
          <w:b/>
          <w:bCs/>
          <w:i/>
          <w:iCs/>
          <w:color w:val="auto"/>
          <w:sz w:val="20"/>
          <w:szCs w:val="20"/>
        </w:rPr>
        <w:t>х</w:t>
      </w:r>
      <w:r w:rsidR="004F36AA">
        <w:rPr>
          <w:rFonts w:ascii="Arial" w:hAnsi="Arial" w:cs="Arial"/>
          <w:b/>
          <w:bCs/>
          <w:i/>
          <w:iCs/>
          <w:color w:val="auto"/>
          <w:sz w:val="20"/>
          <w:szCs w:val="20"/>
        </w:rPr>
        <w:t xml:space="preserve"> бумаг</w:t>
      </w:r>
      <w:r w:rsidRPr="00A936D6">
        <w:rPr>
          <w:rFonts w:ascii="Arial" w:hAnsi="Arial" w:cs="Arial"/>
          <w:b/>
          <w:bCs/>
          <w:i/>
          <w:iCs/>
          <w:color w:val="auto"/>
          <w:sz w:val="20"/>
          <w:szCs w:val="20"/>
        </w:rPr>
        <w:t xml:space="preserve">, решения об указанных событиях принимаются Эмитентом в порядке и сроки, предусмотренные законодательством Российской Федерации и/или нормативными актами в сфере финансовых рынков, действующими на момент принятия Эмитентом решения об указанных событиях. </w:t>
      </w:r>
    </w:p>
    <w:p w:rsidR="00A936D6" w:rsidRPr="00A936D6" w:rsidRDefault="00A936D6" w:rsidP="002B1236">
      <w:pPr>
        <w:pStyle w:val="Default"/>
        <w:ind w:firstLine="567"/>
        <w:jc w:val="both"/>
        <w:rPr>
          <w:rFonts w:ascii="Arial" w:hAnsi="Arial" w:cs="Arial"/>
          <w:b/>
          <w:bCs/>
          <w:i/>
          <w:iCs/>
          <w:color w:val="auto"/>
          <w:sz w:val="20"/>
          <w:szCs w:val="20"/>
        </w:rPr>
      </w:pPr>
    </w:p>
    <w:p w:rsidR="00A936D6" w:rsidRPr="00A936D6" w:rsidRDefault="00A936D6" w:rsidP="002B1236">
      <w:pPr>
        <w:pStyle w:val="Default"/>
        <w:ind w:firstLine="567"/>
        <w:jc w:val="both"/>
        <w:rPr>
          <w:rFonts w:ascii="Arial" w:hAnsi="Arial" w:cs="Arial"/>
          <w:color w:val="auto"/>
          <w:sz w:val="20"/>
          <w:szCs w:val="20"/>
        </w:rPr>
      </w:pPr>
      <w:r w:rsidRPr="00A936D6">
        <w:rPr>
          <w:rFonts w:ascii="Arial" w:hAnsi="Arial" w:cs="Arial"/>
          <w:b/>
          <w:bCs/>
          <w:i/>
          <w:iCs/>
          <w:color w:val="auto"/>
          <w:sz w:val="20"/>
          <w:szCs w:val="20"/>
        </w:rPr>
        <w:t xml:space="preserve">В случае если на момент раскрытия информации о событиях на этапах эмиссии и обращения Биржевых облигаций и иных событиях, описанных в Программе биржевых облигаций и Проспекте ценных бумаг, в соответствии с действующим законодательством Российской Федерации и/или нормативными актами в сфере финансовых рынков, будет установлен иной порядок и сроки раскрытия информации об указанных событиях, нежели порядок и сроки, предусмотренные Программой биржевых облигаций и Проспектом ценных бумаг, информация об указанных событиях раскрывается в порядке и сроки, предусмотренные законодательством Российской Федерации и/или нормативными актами в сфере финансовых рынков, действующими на момент раскрытия информации об указанных событиях. </w:t>
      </w:r>
    </w:p>
    <w:p w:rsidR="00A936D6" w:rsidRPr="00A936D6" w:rsidRDefault="00A936D6" w:rsidP="002B1236">
      <w:pPr>
        <w:pStyle w:val="Default"/>
        <w:ind w:firstLine="567"/>
        <w:jc w:val="both"/>
        <w:rPr>
          <w:rFonts w:ascii="Arial" w:hAnsi="Arial" w:cs="Arial"/>
          <w:b/>
          <w:bCs/>
          <w:i/>
          <w:iCs/>
          <w:color w:val="auto"/>
          <w:sz w:val="20"/>
          <w:szCs w:val="20"/>
        </w:rPr>
      </w:pPr>
    </w:p>
    <w:p w:rsidR="00A936D6" w:rsidRPr="00A936D6" w:rsidRDefault="00A936D6" w:rsidP="002B1236">
      <w:pPr>
        <w:pStyle w:val="Default"/>
        <w:ind w:firstLine="567"/>
        <w:jc w:val="both"/>
        <w:rPr>
          <w:rFonts w:ascii="Arial" w:hAnsi="Arial" w:cs="Arial"/>
          <w:color w:val="auto"/>
          <w:sz w:val="20"/>
          <w:szCs w:val="20"/>
        </w:rPr>
      </w:pPr>
      <w:r w:rsidRPr="00A936D6">
        <w:rPr>
          <w:rFonts w:ascii="Arial" w:hAnsi="Arial" w:cs="Arial"/>
          <w:b/>
          <w:bCs/>
          <w:i/>
          <w:iCs/>
          <w:color w:val="auto"/>
          <w:sz w:val="20"/>
          <w:szCs w:val="20"/>
        </w:rPr>
        <w:t xml:space="preserve">В случае, если на момент совершения определенных действий, связанных с досрочным погашением Биржевых облигаций/приобретением Биржевых облигаций/исполнением обязательств эмитентом по Биржевым облигациям (выплата купона и/или погашение), законодательством Российской Федерации и/или нормативными актами в сфере финансовых рынков будут установлены условия, порядок и (или) правила (требования), отличные от тех, которые содержатся в Программе биржевых облигаций и Проспекте ценных бумаг, но при этом распространяющиеся на данный выпуск Биржевых облигаций исходя из даты присвоения ему идентификационного номера, досрочное погашение Биржевых облигаций/приобретение Биржевых облигаций/исполнение обязательств эмитентом по Биржевым облигациям (выплата купона и/или погашение) будет осуществляться с учетом требований законодательства Российской Федерации и/или нормативных актов в сфере финансовых рынков, действующих на момент совершения соответствующих действий. </w:t>
      </w:r>
    </w:p>
    <w:p w:rsidR="00A936D6" w:rsidRPr="00A936D6" w:rsidRDefault="00A936D6" w:rsidP="002B1236">
      <w:pPr>
        <w:pStyle w:val="Default"/>
        <w:ind w:firstLine="567"/>
        <w:jc w:val="both"/>
        <w:rPr>
          <w:rFonts w:ascii="Arial" w:hAnsi="Arial" w:cs="Arial"/>
          <w:b/>
          <w:bCs/>
          <w:i/>
          <w:iCs/>
          <w:color w:val="auto"/>
          <w:sz w:val="20"/>
          <w:szCs w:val="20"/>
        </w:rPr>
      </w:pPr>
    </w:p>
    <w:p w:rsidR="00A936D6" w:rsidRPr="00A936D6" w:rsidRDefault="00A936D6" w:rsidP="002B1236">
      <w:pPr>
        <w:pStyle w:val="Default"/>
        <w:ind w:firstLine="567"/>
        <w:jc w:val="both"/>
        <w:rPr>
          <w:rFonts w:ascii="Arial" w:hAnsi="Arial" w:cs="Arial"/>
          <w:b/>
          <w:bCs/>
          <w:i/>
          <w:iCs/>
          <w:color w:val="auto"/>
          <w:sz w:val="20"/>
          <w:szCs w:val="20"/>
        </w:rPr>
      </w:pPr>
      <w:r w:rsidRPr="00A936D6">
        <w:rPr>
          <w:rFonts w:ascii="Arial" w:hAnsi="Arial" w:cs="Arial"/>
          <w:b/>
          <w:bCs/>
          <w:i/>
          <w:iCs/>
          <w:color w:val="auto"/>
          <w:sz w:val="20"/>
          <w:szCs w:val="20"/>
        </w:rPr>
        <w:t xml:space="preserve">В случае, если на момент совершения определенных действий, связанных с дефолтом и (или) техническим дефолтом по Биржевым облигациям, законодательством Российской Федерации и/или нормативными актами в сфере финансовых рынков будут установлены условия, порядок и (или) правила (требования), отличные от тех, которые содержатся в </w:t>
      </w:r>
      <w:r w:rsidR="004F36AA">
        <w:rPr>
          <w:rFonts w:ascii="Arial" w:hAnsi="Arial" w:cs="Arial"/>
          <w:b/>
          <w:bCs/>
          <w:i/>
          <w:iCs/>
          <w:color w:val="auto"/>
          <w:sz w:val="20"/>
          <w:szCs w:val="20"/>
        </w:rPr>
        <w:t>Программе биржевых облигаций и Проспекте ценных бумаг</w:t>
      </w:r>
      <w:r w:rsidRPr="00A936D6">
        <w:rPr>
          <w:rFonts w:ascii="Arial" w:hAnsi="Arial" w:cs="Arial"/>
          <w:b/>
          <w:bCs/>
          <w:i/>
          <w:iCs/>
          <w:color w:val="auto"/>
          <w:sz w:val="20"/>
          <w:szCs w:val="20"/>
        </w:rPr>
        <w:t>, указанные действия будут осуществляться с учетом требований законодательства Российской Федерации и/или нормативных актов в сфере финансовых рынков, действующих на момент их совершения.</w:t>
      </w:r>
    </w:p>
    <w:p w:rsidR="00A936D6" w:rsidRPr="00A936D6" w:rsidRDefault="00A936D6" w:rsidP="002B1236">
      <w:pPr>
        <w:pStyle w:val="Default"/>
        <w:ind w:firstLine="567"/>
        <w:jc w:val="both"/>
        <w:rPr>
          <w:rFonts w:ascii="Arial" w:hAnsi="Arial" w:cs="Arial"/>
          <w:b/>
          <w:bCs/>
          <w:i/>
          <w:iCs/>
          <w:color w:val="auto"/>
          <w:sz w:val="20"/>
          <w:szCs w:val="20"/>
        </w:rPr>
      </w:pPr>
    </w:p>
    <w:p w:rsidR="00A936D6" w:rsidRPr="00A936D6" w:rsidRDefault="00A936D6" w:rsidP="002B1236">
      <w:pPr>
        <w:pStyle w:val="Default"/>
        <w:ind w:firstLine="567"/>
        <w:jc w:val="both"/>
        <w:rPr>
          <w:rFonts w:ascii="Arial" w:hAnsi="Arial" w:cs="Arial"/>
          <w:color w:val="auto"/>
          <w:sz w:val="20"/>
          <w:szCs w:val="20"/>
        </w:rPr>
      </w:pPr>
      <w:r w:rsidRPr="00A936D6">
        <w:rPr>
          <w:rFonts w:ascii="Arial" w:hAnsi="Arial" w:cs="Arial"/>
          <w:b/>
          <w:bCs/>
          <w:i/>
          <w:iCs/>
          <w:color w:val="auto"/>
          <w:sz w:val="20"/>
          <w:szCs w:val="20"/>
        </w:rPr>
        <w:t>4. Сведения в отношении наименований, местонахождений</w:t>
      </w:r>
      <w:r w:rsidRPr="00A936D6">
        <w:rPr>
          <w:rFonts w:ascii="Arial" w:hAnsi="Arial" w:cs="Arial"/>
          <w:color w:val="auto"/>
          <w:sz w:val="20"/>
          <w:szCs w:val="20"/>
        </w:rPr>
        <w:t xml:space="preserve">, </w:t>
      </w:r>
      <w:r w:rsidRPr="00A936D6">
        <w:rPr>
          <w:rFonts w:ascii="Arial" w:hAnsi="Arial" w:cs="Arial"/>
          <w:b/>
          <w:bCs/>
          <w:i/>
          <w:iCs/>
          <w:color w:val="auto"/>
          <w:sz w:val="20"/>
          <w:szCs w:val="20"/>
        </w:rPr>
        <w:t>лицензий и других реквизитов обществ (организаций), в том числе Эмитента, указанных в Программе биржевых облигаций и Проспекте ценных бумаг, представлены в соответствии с действующими на момент утверждения Программы биржевых облигаций редакциями учредительных/уставных документов</w:t>
      </w:r>
      <w:r w:rsidRPr="00A936D6">
        <w:rPr>
          <w:rFonts w:ascii="Arial" w:hAnsi="Arial" w:cs="Arial"/>
          <w:color w:val="auto"/>
          <w:sz w:val="20"/>
          <w:szCs w:val="20"/>
        </w:rPr>
        <w:t xml:space="preserve">, </w:t>
      </w:r>
      <w:r w:rsidRPr="00A936D6">
        <w:rPr>
          <w:rFonts w:ascii="Arial" w:hAnsi="Arial" w:cs="Arial"/>
          <w:b/>
          <w:bCs/>
          <w:i/>
          <w:iCs/>
          <w:color w:val="auto"/>
          <w:sz w:val="20"/>
          <w:szCs w:val="20"/>
        </w:rPr>
        <w:t>и/или других соответствующих документов</w:t>
      </w:r>
      <w:r w:rsidRPr="00A936D6">
        <w:rPr>
          <w:rFonts w:ascii="Arial" w:hAnsi="Arial" w:cs="Arial"/>
          <w:color w:val="auto"/>
          <w:sz w:val="20"/>
          <w:szCs w:val="20"/>
        </w:rPr>
        <w:t xml:space="preserve">. </w:t>
      </w:r>
    </w:p>
    <w:p w:rsidR="00A936D6" w:rsidRPr="00A936D6" w:rsidRDefault="00A936D6" w:rsidP="002B1236">
      <w:pPr>
        <w:pStyle w:val="Default"/>
        <w:ind w:firstLine="567"/>
        <w:jc w:val="both"/>
        <w:rPr>
          <w:rFonts w:ascii="Arial" w:hAnsi="Arial" w:cs="Arial"/>
          <w:color w:val="auto"/>
          <w:sz w:val="20"/>
          <w:szCs w:val="20"/>
        </w:rPr>
      </w:pPr>
      <w:r w:rsidRPr="00A936D6">
        <w:rPr>
          <w:rFonts w:ascii="Arial" w:hAnsi="Arial" w:cs="Arial"/>
          <w:b/>
          <w:bCs/>
          <w:i/>
          <w:iCs/>
          <w:color w:val="auto"/>
          <w:sz w:val="20"/>
          <w:szCs w:val="20"/>
        </w:rPr>
        <w:t>В случае изменения наименования, местонахождения</w:t>
      </w:r>
      <w:r w:rsidRPr="00A936D6">
        <w:rPr>
          <w:rFonts w:ascii="Arial" w:hAnsi="Arial" w:cs="Arial"/>
          <w:color w:val="auto"/>
          <w:sz w:val="20"/>
          <w:szCs w:val="20"/>
        </w:rPr>
        <w:t xml:space="preserve">, </w:t>
      </w:r>
      <w:r w:rsidRPr="00A936D6">
        <w:rPr>
          <w:rFonts w:ascii="Arial" w:hAnsi="Arial" w:cs="Arial"/>
          <w:b/>
          <w:bCs/>
          <w:i/>
          <w:iCs/>
          <w:color w:val="auto"/>
          <w:sz w:val="20"/>
          <w:szCs w:val="20"/>
        </w:rPr>
        <w:t>лицензий и других реквизитов обществ (организаций), указанных в Программе</w:t>
      </w:r>
      <w:r w:rsidR="004F36AA">
        <w:rPr>
          <w:rFonts w:ascii="Arial" w:hAnsi="Arial" w:cs="Arial"/>
          <w:b/>
          <w:bCs/>
          <w:i/>
          <w:iCs/>
          <w:color w:val="auto"/>
          <w:sz w:val="20"/>
          <w:szCs w:val="20"/>
        </w:rPr>
        <w:t xml:space="preserve"> биржевых облигаций и Проспекте ценных бумаг</w:t>
      </w:r>
      <w:r w:rsidRPr="00A936D6">
        <w:rPr>
          <w:rFonts w:ascii="Arial" w:hAnsi="Arial" w:cs="Arial"/>
          <w:b/>
          <w:bCs/>
          <w:i/>
          <w:iCs/>
          <w:color w:val="auto"/>
          <w:sz w:val="20"/>
          <w:szCs w:val="20"/>
        </w:rPr>
        <w:t xml:space="preserve">, данную информацию следует читать с учетом соответствующих изменений. </w:t>
      </w:r>
    </w:p>
    <w:p w:rsidR="004F36AA" w:rsidRDefault="004F36AA" w:rsidP="002B1236">
      <w:pPr>
        <w:pStyle w:val="Default"/>
        <w:ind w:firstLine="567"/>
        <w:jc w:val="both"/>
        <w:rPr>
          <w:rFonts w:ascii="Arial" w:hAnsi="Arial" w:cs="Arial"/>
          <w:b/>
          <w:bCs/>
          <w:i/>
          <w:iCs/>
          <w:color w:val="auto"/>
          <w:sz w:val="20"/>
          <w:szCs w:val="20"/>
        </w:rPr>
      </w:pPr>
    </w:p>
    <w:p w:rsidR="00A936D6" w:rsidRPr="00A936D6" w:rsidRDefault="00A936D6" w:rsidP="002B1236">
      <w:pPr>
        <w:pStyle w:val="Default"/>
        <w:ind w:firstLine="567"/>
        <w:jc w:val="both"/>
        <w:rPr>
          <w:rFonts w:ascii="Arial" w:hAnsi="Arial" w:cs="Arial"/>
          <w:b/>
          <w:bCs/>
          <w:i/>
          <w:iCs/>
          <w:color w:val="auto"/>
          <w:sz w:val="20"/>
          <w:szCs w:val="20"/>
        </w:rPr>
      </w:pPr>
      <w:r w:rsidRPr="00A936D6">
        <w:rPr>
          <w:rFonts w:ascii="Arial" w:hAnsi="Arial" w:cs="Arial"/>
          <w:b/>
          <w:bCs/>
          <w:i/>
          <w:iCs/>
          <w:color w:val="auto"/>
          <w:sz w:val="20"/>
          <w:szCs w:val="20"/>
        </w:rPr>
        <w:t>5. В случае изменения действующего законодательства Российской Федерации и/или нормативных актов в сфере финансовых рынков после утверждения Программы</w:t>
      </w:r>
      <w:r w:rsidR="004F36AA">
        <w:rPr>
          <w:rFonts w:ascii="Arial" w:hAnsi="Arial" w:cs="Arial"/>
          <w:b/>
          <w:bCs/>
          <w:i/>
          <w:iCs/>
          <w:color w:val="auto"/>
          <w:sz w:val="20"/>
          <w:szCs w:val="20"/>
        </w:rPr>
        <w:t xml:space="preserve"> биржевых облигаций</w:t>
      </w:r>
      <w:r w:rsidRPr="00A936D6">
        <w:rPr>
          <w:rFonts w:ascii="Arial" w:hAnsi="Arial" w:cs="Arial"/>
          <w:b/>
          <w:bCs/>
          <w:i/>
          <w:iCs/>
          <w:color w:val="auto"/>
          <w:sz w:val="20"/>
          <w:szCs w:val="20"/>
        </w:rPr>
        <w:t>, Проспекта ценных бумаг и Условий выпуска, положения (требования, условия), закрепленные Программой</w:t>
      </w:r>
      <w:r w:rsidR="004F36AA">
        <w:rPr>
          <w:rFonts w:ascii="Arial" w:hAnsi="Arial" w:cs="Arial"/>
          <w:b/>
          <w:bCs/>
          <w:i/>
          <w:iCs/>
          <w:color w:val="auto"/>
          <w:sz w:val="20"/>
          <w:szCs w:val="20"/>
        </w:rPr>
        <w:t xml:space="preserve"> биржевых облигаций</w:t>
      </w:r>
      <w:r w:rsidRPr="00A936D6">
        <w:rPr>
          <w:rFonts w:ascii="Arial" w:hAnsi="Arial" w:cs="Arial"/>
          <w:b/>
          <w:bCs/>
          <w:i/>
          <w:iCs/>
          <w:color w:val="auto"/>
          <w:sz w:val="20"/>
          <w:szCs w:val="20"/>
        </w:rPr>
        <w:t xml:space="preserve">, Проспектом ценных бумаг, Условиями выпуска и Сертификатом, будут действовать с учетом изменившихся императивных требований законодательства Российской Федерации и/или нормативных актов в сфере финансовых рынков. </w:t>
      </w:r>
    </w:p>
    <w:p w:rsidR="00A936D6" w:rsidRPr="00A936D6" w:rsidRDefault="00A936D6" w:rsidP="002B1236">
      <w:pPr>
        <w:pStyle w:val="Default"/>
        <w:ind w:firstLine="567"/>
        <w:jc w:val="both"/>
        <w:rPr>
          <w:rFonts w:ascii="Arial" w:hAnsi="Arial" w:cs="Arial"/>
          <w:b/>
          <w:bCs/>
          <w:i/>
          <w:iCs/>
          <w:color w:val="auto"/>
          <w:sz w:val="20"/>
          <w:szCs w:val="20"/>
          <w:u w:val="single"/>
        </w:rPr>
      </w:pPr>
      <w:r w:rsidRPr="00A936D6">
        <w:rPr>
          <w:rFonts w:ascii="Arial" w:hAnsi="Arial" w:cs="Arial"/>
          <w:b/>
          <w:bCs/>
          <w:i/>
          <w:iCs/>
          <w:color w:val="auto"/>
          <w:sz w:val="20"/>
          <w:szCs w:val="20"/>
        </w:rPr>
        <w:t>В случае изменения действующего законодательства Российской Федерации и/или нормативных актов в сфере финансовых рынков после утверждения Программы</w:t>
      </w:r>
      <w:r w:rsidR="004F36AA">
        <w:rPr>
          <w:rFonts w:ascii="Arial" w:hAnsi="Arial" w:cs="Arial"/>
          <w:b/>
          <w:bCs/>
          <w:i/>
          <w:iCs/>
          <w:color w:val="auto"/>
          <w:sz w:val="20"/>
          <w:szCs w:val="20"/>
        </w:rPr>
        <w:t xml:space="preserve"> биржевых облигаций</w:t>
      </w:r>
      <w:r w:rsidRPr="00A936D6">
        <w:rPr>
          <w:rFonts w:ascii="Arial" w:hAnsi="Arial" w:cs="Arial"/>
          <w:b/>
          <w:bCs/>
          <w:i/>
          <w:iCs/>
          <w:color w:val="auto"/>
          <w:sz w:val="20"/>
          <w:szCs w:val="20"/>
        </w:rPr>
        <w:t xml:space="preserve"> и Проспекта ценных бумаг и до утверждения соответствующих Условий выпуска, </w:t>
      </w:r>
      <w:r w:rsidRPr="00A936D6">
        <w:rPr>
          <w:rFonts w:ascii="Arial" w:hAnsi="Arial" w:cs="Arial"/>
          <w:b/>
          <w:bCs/>
          <w:i/>
          <w:iCs/>
          <w:color w:val="auto"/>
          <w:sz w:val="20"/>
          <w:szCs w:val="20"/>
          <w:u w:val="single"/>
        </w:rPr>
        <w:t>Условия выпуска будет содержать положения (требования, условия), закрепленные Программой, с учетом изменившихся императивных требований законодательства Российской Федерации и/или нормативных актов в сфере финансовых рынков.</w:t>
      </w:r>
    </w:p>
    <w:p w:rsidR="004F36AA" w:rsidRDefault="004F36AA" w:rsidP="002B1236">
      <w:pPr>
        <w:pStyle w:val="Default"/>
        <w:ind w:firstLine="567"/>
        <w:jc w:val="both"/>
        <w:rPr>
          <w:rFonts w:ascii="Arial" w:hAnsi="Arial" w:cs="Arial"/>
          <w:b/>
          <w:bCs/>
          <w:i/>
          <w:iCs/>
          <w:color w:val="auto"/>
          <w:sz w:val="20"/>
          <w:szCs w:val="20"/>
        </w:rPr>
      </w:pPr>
    </w:p>
    <w:p w:rsidR="00A936D6" w:rsidRPr="00A936D6" w:rsidRDefault="00A936D6" w:rsidP="002B1236">
      <w:pPr>
        <w:pStyle w:val="Default"/>
        <w:ind w:firstLine="567"/>
        <w:jc w:val="both"/>
        <w:rPr>
          <w:rFonts w:ascii="Arial" w:hAnsi="Arial" w:cs="Arial"/>
          <w:b/>
          <w:bCs/>
          <w:i/>
          <w:iCs/>
          <w:color w:val="auto"/>
          <w:sz w:val="20"/>
          <w:szCs w:val="20"/>
        </w:rPr>
      </w:pPr>
      <w:r w:rsidRPr="00A936D6">
        <w:rPr>
          <w:rFonts w:ascii="Arial" w:hAnsi="Arial" w:cs="Arial"/>
          <w:b/>
          <w:bCs/>
          <w:i/>
          <w:iCs/>
          <w:color w:val="auto"/>
          <w:sz w:val="20"/>
          <w:szCs w:val="20"/>
        </w:rPr>
        <w:t>6. Правила статьи 317.1 Гражданского кодекса Российской Федерации не применяются к денежным обязательствам, возникающим в связи с Биржевыми облигациями, размещаемыми в рамках Программы. Условия выпуска, утвержденные в соответствии с Программой, могут содержать иные правила, касающиеся применения правил статьи 317.1 Гражданского кодекса Российской Федерации в отношении денежных обязательств, возникающих в связи с Биржевыми облигациями, размещаемыми в соответствии с такими Условиями выпуска. В случае отсутствия в Условиях выпуска, утвержденных в соответствии с Программой, специальных правил о применении или неприменении правил статьи 317.1 Гражданского кодекса Российской Федерации подлежат применения правило первого предложения настоящего абзаца.</w:t>
      </w:r>
    </w:p>
    <w:p w:rsidR="00886DC8" w:rsidRDefault="00886DC8">
      <w:pPr>
        <w:widowControl/>
        <w:autoSpaceDE/>
        <w:autoSpaceDN/>
        <w:adjustRightInd/>
        <w:spacing w:before="0" w:after="200" w:line="276" w:lineRule="auto"/>
        <w:rPr>
          <w:rFonts w:eastAsiaTheme="minorHAnsi"/>
          <w:lang w:eastAsia="en-US"/>
        </w:rPr>
      </w:pPr>
      <w:r>
        <w:br w:type="page"/>
      </w:r>
    </w:p>
    <w:p w:rsidR="007B6CF9" w:rsidRPr="000A5B22" w:rsidRDefault="007B6CF9" w:rsidP="007B6CF9">
      <w:pPr>
        <w:pStyle w:val="ConsPlusNormal"/>
        <w:ind w:firstLine="540"/>
        <w:jc w:val="both"/>
        <w:outlineLvl w:val="0"/>
        <w:rPr>
          <w:b/>
          <w:sz w:val="32"/>
          <w:szCs w:val="32"/>
        </w:rPr>
      </w:pPr>
      <w:bookmarkStart w:id="183" w:name="_Toc448251249"/>
      <w:r w:rsidRPr="000A5B22">
        <w:rPr>
          <w:b/>
          <w:sz w:val="32"/>
          <w:szCs w:val="32"/>
        </w:rPr>
        <w:t>Раздел IX. Дополнительные сведения об эмитенте и о размещенных им эмиссионных ценных бумагах</w:t>
      </w:r>
      <w:bookmarkEnd w:id="183"/>
    </w:p>
    <w:p w:rsidR="007B6CF9" w:rsidRPr="00C72B73" w:rsidRDefault="007B6CF9" w:rsidP="007B6CF9">
      <w:pPr>
        <w:pStyle w:val="ConsPlusNormal"/>
        <w:jc w:val="both"/>
        <w:rPr>
          <w:rFonts w:ascii="Times New Roman" w:hAnsi="Times New Roman" w:cs="Times New Roman"/>
        </w:rPr>
      </w:pPr>
    </w:p>
    <w:p w:rsidR="007B6CF9" w:rsidRPr="000A5B22" w:rsidRDefault="007B6CF9" w:rsidP="000A5B22">
      <w:pPr>
        <w:widowControl/>
        <w:spacing w:before="0" w:after="0"/>
        <w:ind w:firstLine="540"/>
        <w:jc w:val="both"/>
        <w:outlineLvl w:val="1"/>
        <w:rPr>
          <w:rFonts w:ascii="Arial" w:eastAsiaTheme="minorHAnsi" w:hAnsi="Arial" w:cs="Arial"/>
          <w:b/>
          <w:i/>
          <w:sz w:val="28"/>
          <w:szCs w:val="28"/>
          <w:lang w:eastAsia="en-US"/>
        </w:rPr>
      </w:pPr>
      <w:bookmarkStart w:id="184" w:name="_Toc448251250"/>
      <w:r w:rsidRPr="000A5B22">
        <w:rPr>
          <w:rFonts w:ascii="Arial" w:eastAsiaTheme="minorHAnsi" w:hAnsi="Arial" w:cs="Arial"/>
          <w:b/>
          <w:i/>
          <w:sz w:val="28"/>
          <w:szCs w:val="28"/>
          <w:lang w:eastAsia="en-US"/>
        </w:rPr>
        <w:t>9.1. Дополнительные сведения об эмитенте</w:t>
      </w:r>
      <w:bookmarkEnd w:id="184"/>
    </w:p>
    <w:p w:rsidR="007B6CF9" w:rsidRPr="00C72B73" w:rsidRDefault="007B6CF9" w:rsidP="007B6CF9">
      <w:pPr>
        <w:pStyle w:val="ConsPlusNormal"/>
        <w:jc w:val="both"/>
        <w:rPr>
          <w:rFonts w:ascii="Times New Roman" w:hAnsi="Times New Roman" w:cs="Times New Roman"/>
        </w:rPr>
      </w:pPr>
    </w:p>
    <w:p w:rsidR="007B6CF9" w:rsidRPr="00F609B4" w:rsidRDefault="007B6CF9" w:rsidP="007B6CF9">
      <w:pPr>
        <w:pStyle w:val="ConsPlusNormal"/>
        <w:ind w:firstLine="540"/>
        <w:jc w:val="both"/>
        <w:outlineLvl w:val="2"/>
        <w:rPr>
          <w:b/>
          <w:sz w:val="26"/>
          <w:szCs w:val="26"/>
        </w:rPr>
      </w:pPr>
      <w:bookmarkStart w:id="185" w:name="_Toc448251251"/>
      <w:r w:rsidRPr="00F609B4">
        <w:rPr>
          <w:b/>
          <w:sz w:val="26"/>
          <w:szCs w:val="26"/>
        </w:rPr>
        <w:t>9.1.1. Сведения о размере, структуре уставного капитала эмитента</w:t>
      </w:r>
      <w:bookmarkEnd w:id="185"/>
    </w:p>
    <w:p w:rsidR="007B6CF9" w:rsidRPr="00A94364" w:rsidRDefault="007B6CF9" w:rsidP="007B6CF9">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7B6CF9" w:rsidRPr="00C72B73" w:rsidRDefault="007B6CF9" w:rsidP="007B6CF9">
      <w:pPr>
        <w:pStyle w:val="ConsPlusNormal"/>
        <w:jc w:val="both"/>
        <w:rPr>
          <w:rFonts w:ascii="Times New Roman" w:hAnsi="Times New Roman" w:cs="Times New Roman"/>
        </w:rPr>
      </w:pPr>
    </w:p>
    <w:p w:rsidR="007B6CF9" w:rsidRPr="00F609B4" w:rsidRDefault="007B6CF9" w:rsidP="007B6CF9">
      <w:pPr>
        <w:pStyle w:val="ConsPlusNormal"/>
        <w:ind w:firstLine="540"/>
        <w:jc w:val="both"/>
        <w:outlineLvl w:val="2"/>
        <w:rPr>
          <w:b/>
          <w:sz w:val="26"/>
          <w:szCs w:val="26"/>
        </w:rPr>
      </w:pPr>
      <w:bookmarkStart w:id="186" w:name="_Toc448251252"/>
      <w:r w:rsidRPr="00F609B4">
        <w:rPr>
          <w:b/>
          <w:sz w:val="26"/>
          <w:szCs w:val="26"/>
        </w:rPr>
        <w:t>9.1.2. Сведения об изменении размера уставного капитала эмитента</w:t>
      </w:r>
      <w:bookmarkEnd w:id="186"/>
    </w:p>
    <w:p w:rsidR="007B6CF9" w:rsidRPr="00A94364" w:rsidRDefault="007B6CF9" w:rsidP="007B6CF9">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7B6CF9" w:rsidRPr="00C72B73" w:rsidRDefault="007B6CF9" w:rsidP="007B6CF9">
      <w:pPr>
        <w:pStyle w:val="ConsPlusNormal"/>
        <w:jc w:val="both"/>
        <w:rPr>
          <w:rFonts w:ascii="Times New Roman" w:hAnsi="Times New Roman" w:cs="Times New Roman"/>
        </w:rPr>
      </w:pPr>
    </w:p>
    <w:p w:rsidR="007B6CF9" w:rsidRPr="00F609B4" w:rsidRDefault="007B6CF9" w:rsidP="007B6CF9">
      <w:pPr>
        <w:pStyle w:val="ConsPlusNormal"/>
        <w:ind w:firstLine="540"/>
        <w:jc w:val="both"/>
        <w:outlineLvl w:val="2"/>
        <w:rPr>
          <w:b/>
          <w:sz w:val="26"/>
          <w:szCs w:val="26"/>
        </w:rPr>
      </w:pPr>
      <w:bookmarkStart w:id="187" w:name="_Toc448251253"/>
      <w:r w:rsidRPr="00F609B4">
        <w:rPr>
          <w:b/>
          <w:sz w:val="26"/>
          <w:szCs w:val="26"/>
        </w:rPr>
        <w:t>9.1.3. Сведения о порядке созыва и проведения собрания (заседания) высшего органа управления эмитента</w:t>
      </w:r>
      <w:bookmarkEnd w:id="187"/>
    </w:p>
    <w:p w:rsidR="007B6CF9" w:rsidRPr="00A94364" w:rsidRDefault="007B6CF9" w:rsidP="007B6CF9">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7B6CF9" w:rsidRPr="00C72B73" w:rsidRDefault="007B6CF9" w:rsidP="007B6CF9">
      <w:pPr>
        <w:pStyle w:val="ConsPlusNormal"/>
        <w:jc w:val="both"/>
        <w:rPr>
          <w:rFonts w:ascii="Times New Roman" w:hAnsi="Times New Roman" w:cs="Times New Roman"/>
        </w:rPr>
      </w:pPr>
    </w:p>
    <w:p w:rsidR="007B6CF9" w:rsidRPr="00F609B4" w:rsidRDefault="007B6CF9" w:rsidP="007B6CF9">
      <w:pPr>
        <w:pStyle w:val="ConsPlusNormal"/>
        <w:ind w:firstLine="540"/>
        <w:jc w:val="both"/>
        <w:outlineLvl w:val="2"/>
        <w:rPr>
          <w:b/>
          <w:sz w:val="26"/>
          <w:szCs w:val="26"/>
        </w:rPr>
      </w:pPr>
      <w:bookmarkStart w:id="188" w:name="_Toc448251254"/>
      <w:r w:rsidRPr="00F609B4">
        <w:rPr>
          <w:b/>
          <w:sz w:val="26"/>
          <w:szCs w:val="26"/>
        </w:rPr>
        <w:t>9.1.4. Сведения о коммерческих организациях, в которых эмитент владеет не менее чем пятью процентами уставного капитала либо не менее чем пятью процентами обыкновенных акций</w:t>
      </w:r>
      <w:bookmarkEnd w:id="188"/>
    </w:p>
    <w:p w:rsidR="007B6CF9" w:rsidRPr="00A94364" w:rsidRDefault="007B6CF9" w:rsidP="007B6CF9">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7B6CF9" w:rsidRPr="00C72B73" w:rsidRDefault="007B6CF9" w:rsidP="007B6CF9">
      <w:pPr>
        <w:pStyle w:val="ConsPlusNormal"/>
        <w:jc w:val="both"/>
        <w:rPr>
          <w:rFonts w:ascii="Times New Roman" w:hAnsi="Times New Roman" w:cs="Times New Roman"/>
        </w:rPr>
      </w:pPr>
    </w:p>
    <w:p w:rsidR="007B6CF9" w:rsidRPr="00F609B4" w:rsidRDefault="007B6CF9" w:rsidP="007B6CF9">
      <w:pPr>
        <w:pStyle w:val="ConsPlusNormal"/>
        <w:ind w:firstLine="540"/>
        <w:jc w:val="both"/>
        <w:outlineLvl w:val="2"/>
        <w:rPr>
          <w:b/>
          <w:sz w:val="26"/>
          <w:szCs w:val="26"/>
        </w:rPr>
      </w:pPr>
      <w:bookmarkStart w:id="189" w:name="_Toc448251255"/>
      <w:r w:rsidRPr="00F609B4">
        <w:rPr>
          <w:b/>
          <w:sz w:val="26"/>
          <w:szCs w:val="26"/>
        </w:rPr>
        <w:t>9.1.5. Сведения о существенных сделках, совершенных эмитентом</w:t>
      </w:r>
      <w:bookmarkEnd w:id="189"/>
    </w:p>
    <w:p w:rsidR="007B6CF9" w:rsidRPr="00A94364" w:rsidRDefault="007B6CF9" w:rsidP="007B6CF9">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7B6CF9" w:rsidRPr="00C72B73" w:rsidRDefault="007B6CF9" w:rsidP="007B6CF9">
      <w:pPr>
        <w:pStyle w:val="ConsPlusNormal"/>
        <w:jc w:val="both"/>
        <w:rPr>
          <w:rFonts w:ascii="Times New Roman" w:hAnsi="Times New Roman" w:cs="Times New Roman"/>
        </w:rPr>
      </w:pPr>
    </w:p>
    <w:p w:rsidR="007B6CF9" w:rsidRPr="00F609B4" w:rsidRDefault="007B6CF9" w:rsidP="007B6CF9">
      <w:pPr>
        <w:pStyle w:val="ConsPlusNormal"/>
        <w:ind w:firstLine="540"/>
        <w:jc w:val="both"/>
        <w:outlineLvl w:val="2"/>
        <w:rPr>
          <w:b/>
          <w:sz w:val="26"/>
          <w:szCs w:val="26"/>
        </w:rPr>
      </w:pPr>
      <w:bookmarkStart w:id="190" w:name="_Toc448251256"/>
      <w:r w:rsidRPr="00F609B4">
        <w:rPr>
          <w:b/>
          <w:sz w:val="26"/>
          <w:szCs w:val="26"/>
        </w:rPr>
        <w:t>9.1.6. Сведения о кредитных рейтингах эмитента</w:t>
      </w:r>
      <w:bookmarkEnd w:id="190"/>
    </w:p>
    <w:p w:rsidR="007B6CF9" w:rsidRPr="00A94364" w:rsidRDefault="007B6CF9" w:rsidP="007B6CF9">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7B6CF9" w:rsidRPr="00C72B73" w:rsidRDefault="007B6CF9" w:rsidP="007B6CF9">
      <w:pPr>
        <w:pStyle w:val="ConsPlusNormal"/>
        <w:jc w:val="both"/>
        <w:rPr>
          <w:rFonts w:ascii="Times New Roman" w:hAnsi="Times New Roman" w:cs="Times New Roman"/>
        </w:rPr>
      </w:pPr>
    </w:p>
    <w:p w:rsidR="007B6CF9" w:rsidRPr="00F609B4" w:rsidRDefault="007B6CF9" w:rsidP="00F609B4">
      <w:pPr>
        <w:widowControl/>
        <w:spacing w:before="0" w:after="0"/>
        <w:ind w:firstLine="540"/>
        <w:jc w:val="both"/>
        <w:outlineLvl w:val="1"/>
        <w:rPr>
          <w:rFonts w:ascii="Arial" w:eastAsiaTheme="minorHAnsi" w:hAnsi="Arial" w:cs="Arial"/>
          <w:b/>
          <w:i/>
          <w:sz w:val="28"/>
          <w:szCs w:val="28"/>
          <w:lang w:eastAsia="en-US"/>
        </w:rPr>
      </w:pPr>
      <w:bookmarkStart w:id="191" w:name="_Toc448251257"/>
      <w:r w:rsidRPr="00F609B4">
        <w:rPr>
          <w:rFonts w:ascii="Arial" w:eastAsiaTheme="minorHAnsi" w:hAnsi="Arial" w:cs="Arial"/>
          <w:b/>
          <w:i/>
          <w:sz w:val="28"/>
          <w:szCs w:val="28"/>
          <w:lang w:eastAsia="en-US"/>
        </w:rPr>
        <w:t>9.2. Сведения о каждой категории (типе) акций эмитента</w:t>
      </w:r>
      <w:bookmarkEnd w:id="191"/>
    </w:p>
    <w:p w:rsidR="007B6CF9" w:rsidRPr="00A94364" w:rsidRDefault="007B6CF9" w:rsidP="007B6CF9">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7B6CF9" w:rsidRPr="00C72B73" w:rsidRDefault="007B6CF9" w:rsidP="007B6CF9">
      <w:pPr>
        <w:pStyle w:val="ConsPlusNormal"/>
        <w:jc w:val="both"/>
        <w:rPr>
          <w:rFonts w:ascii="Times New Roman" w:hAnsi="Times New Roman" w:cs="Times New Roman"/>
        </w:rPr>
      </w:pPr>
    </w:p>
    <w:p w:rsidR="007B6CF9" w:rsidRPr="00F609B4" w:rsidRDefault="007B6CF9" w:rsidP="00F609B4">
      <w:pPr>
        <w:widowControl/>
        <w:spacing w:before="0" w:after="0"/>
        <w:ind w:firstLine="540"/>
        <w:jc w:val="both"/>
        <w:outlineLvl w:val="1"/>
        <w:rPr>
          <w:rFonts w:ascii="Arial" w:eastAsiaTheme="minorHAnsi" w:hAnsi="Arial" w:cs="Arial"/>
          <w:b/>
          <w:i/>
          <w:sz w:val="28"/>
          <w:szCs w:val="28"/>
          <w:lang w:eastAsia="en-US"/>
        </w:rPr>
      </w:pPr>
      <w:bookmarkStart w:id="192" w:name="_Toc448251258"/>
      <w:r w:rsidRPr="00F609B4">
        <w:rPr>
          <w:rFonts w:ascii="Arial" w:eastAsiaTheme="minorHAnsi" w:hAnsi="Arial" w:cs="Arial"/>
          <w:b/>
          <w:i/>
          <w:sz w:val="28"/>
          <w:szCs w:val="28"/>
          <w:lang w:eastAsia="en-US"/>
        </w:rPr>
        <w:t>9.3. Сведения о предыдущих выпусках ценных бумаг эмитента, за исключением акций эмитента</w:t>
      </w:r>
      <w:bookmarkEnd w:id="192"/>
    </w:p>
    <w:p w:rsidR="007B6CF9" w:rsidRPr="00C72B73" w:rsidRDefault="007B6CF9" w:rsidP="007B6CF9">
      <w:pPr>
        <w:pStyle w:val="ConsPlusNormal"/>
        <w:jc w:val="both"/>
        <w:rPr>
          <w:rFonts w:ascii="Times New Roman" w:hAnsi="Times New Roman" w:cs="Times New Roman"/>
        </w:rPr>
      </w:pPr>
    </w:p>
    <w:p w:rsidR="007B6CF9" w:rsidRPr="00F609B4" w:rsidRDefault="007B6CF9" w:rsidP="007B6CF9">
      <w:pPr>
        <w:pStyle w:val="ConsPlusNormal"/>
        <w:ind w:firstLine="540"/>
        <w:jc w:val="both"/>
        <w:outlineLvl w:val="2"/>
        <w:rPr>
          <w:b/>
          <w:sz w:val="26"/>
          <w:szCs w:val="26"/>
        </w:rPr>
      </w:pPr>
      <w:bookmarkStart w:id="193" w:name="_Toc448251259"/>
      <w:r w:rsidRPr="00F609B4">
        <w:rPr>
          <w:b/>
          <w:sz w:val="26"/>
          <w:szCs w:val="26"/>
        </w:rPr>
        <w:t>9.3.1. Сведения о выпусках, все ценные бумаги которых погашены</w:t>
      </w:r>
      <w:bookmarkEnd w:id="193"/>
    </w:p>
    <w:p w:rsidR="007B6CF9" w:rsidRPr="00A94364" w:rsidRDefault="007B6CF9" w:rsidP="007B6CF9">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7B6CF9" w:rsidRPr="00A94364" w:rsidRDefault="007B6CF9" w:rsidP="00F609B4">
      <w:pPr>
        <w:pStyle w:val="ConsPlusNormal"/>
        <w:ind w:firstLine="540"/>
        <w:jc w:val="both"/>
        <w:rPr>
          <w:rFonts w:ascii="Times New Roman" w:hAnsi="Times New Roman" w:cs="Times New Roman"/>
        </w:rPr>
      </w:pPr>
    </w:p>
    <w:p w:rsidR="007B6CF9" w:rsidRPr="00F609B4" w:rsidRDefault="007B6CF9" w:rsidP="007B6CF9">
      <w:pPr>
        <w:pStyle w:val="ConsPlusNormal"/>
        <w:ind w:firstLine="540"/>
        <w:jc w:val="both"/>
        <w:outlineLvl w:val="2"/>
        <w:rPr>
          <w:b/>
          <w:sz w:val="26"/>
          <w:szCs w:val="26"/>
        </w:rPr>
      </w:pPr>
      <w:bookmarkStart w:id="194" w:name="_Toc448251260"/>
      <w:r w:rsidRPr="00F609B4">
        <w:rPr>
          <w:b/>
          <w:sz w:val="26"/>
          <w:szCs w:val="26"/>
        </w:rPr>
        <w:t>9.3.2. Сведения о выпусках, ценные бумаги которых не являются погашенными</w:t>
      </w:r>
      <w:bookmarkEnd w:id="194"/>
    </w:p>
    <w:p w:rsidR="007B6CF9" w:rsidRPr="00A94364" w:rsidRDefault="007B6CF9" w:rsidP="007B6CF9">
      <w:pPr>
        <w:pStyle w:val="ConsPlusNormal"/>
        <w:ind w:firstLine="540"/>
        <w:jc w:val="both"/>
        <w:rPr>
          <w:rFonts w:ascii="Times New Roman" w:hAnsi="Times New Roman" w:cs="Times New Roman"/>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EA5AEC" w:rsidRPr="00A23F05" w:rsidRDefault="00EA5AEC" w:rsidP="00EA5AEC">
      <w:pPr>
        <w:pStyle w:val="ConsPlusNormal"/>
        <w:ind w:firstLine="540"/>
        <w:jc w:val="both"/>
        <w:rPr>
          <w:b/>
          <w:bCs/>
          <w:i/>
          <w:iCs/>
        </w:rPr>
      </w:pPr>
    </w:p>
    <w:p w:rsidR="007B6CF9" w:rsidRPr="00F609B4" w:rsidRDefault="007B6CF9" w:rsidP="00F609B4">
      <w:pPr>
        <w:widowControl/>
        <w:spacing w:before="0" w:after="0"/>
        <w:ind w:firstLine="540"/>
        <w:jc w:val="both"/>
        <w:outlineLvl w:val="1"/>
        <w:rPr>
          <w:rFonts w:ascii="Arial" w:eastAsiaTheme="minorHAnsi" w:hAnsi="Arial" w:cs="Arial"/>
          <w:b/>
          <w:i/>
          <w:sz w:val="28"/>
          <w:szCs w:val="28"/>
          <w:lang w:eastAsia="en-US"/>
        </w:rPr>
      </w:pPr>
      <w:bookmarkStart w:id="195" w:name="_Toc448251261"/>
      <w:r w:rsidRPr="00F609B4">
        <w:rPr>
          <w:rFonts w:ascii="Arial" w:eastAsiaTheme="minorHAnsi" w:hAnsi="Arial" w:cs="Arial"/>
          <w:b/>
          <w:i/>
          <w:sz w:val="28"/>
          <w:szCs w:val="28"/>
          <w:lang w:eastAsia="en-US"/>
        </w:rPr>
        <w:t>9.4. Сведения о лице (лицах), предоставившем (предоставивших) обеспечение по облигациям эмитента с обеспечением, а также об обеспечении, предоставленном по облигациям эмитента с обеспечением</w:t>
      </w:r>
      <w:bookmarkEnd w:id="195"/>
    </w:p>
    <w:p w:rsidR="007B6CF9" w:rsidRPr="00A94364" w:rsidRDefault="007B6CF9" w:rsidP="007B6CF9">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7B6CF9" w:rsidRPr="00A94364" w:rsidRDefault="007B6CF9" w:rsidP="00F609B4">
      <w:pPr>
        <w:pStyle w:val="ConsPlusNormal"/>
        <w:ind w:firstLine="540"/>
        <w:jc w:val="both"/>
        <w:rPr>
          <w:rFonts w:ascii="Times New Roman" w:hAnsi="Times New Roman" w:cs="Times New Roman"/>
        </w:rPr>
      </w:pPr>
    </w:p>
    <w:p w:rsidR="007B6CF9" w:rsidRPr="00F609B4" w:rsidRDefault="007B6CF9" w:rsidP="007B6CF9">
      <w:pPr>
        <w:pStyle w:val="ConsPlusNormal"/>
        <w:ind w:firstLine="540"/>
        <w:jc w:val="both"/>
        <w:outlineLvl w:val="2"/>
        <w:rPr>
          <w:b/>
          <w:sz w:val="26"/>
          <w:szCs w:val="26"/>
        </w:rPr>
      </w:pPr>
      <w:bookmarkStart w:id="196" w:name="_Toc448251262"/>
      <w:r w:rsidRPr="00F609B4">
        <w:rPr>
          <w:b/>
          <w:sz w:val="26"/>
          <w:szCs w:val="26"/>
        </w:rPr>
        <w:t>9.4.1. Дополнительные сведения об ипотечном покрытии по облигациям эмитента с ипотечным покрытием</w:t>
      </w:r>
      <w:bookmarkEnd w:id="196"/>
    </w:p>
    <w:p w:rsidR="007B6CF9" w:rsidRPr="00C72B73" w:rsidRDefault="007B6CF9" w:rsidP="007B6CF9">
      <w:pPr>
        <w:pStyle w:val="ConsPlusNormal"/>
        <w:jc w:val="both"/>
        <w:rPr>
          <w:rFonts w:ascii="Times New Roman" w:hAnsi="Times New Roman" w:cs="Times New Roman"/>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7B6CF9" w:rsidRPr="00D90449" w:rsidRDefault="007B6CF9" w:rsidP="00F609B4">
      <w:pPr>
        <w:pStyle w:val="ConsPlusNormal"/>
        <w:ind w:firstLine="540"/>
        <w:jc w:val="both"/>
        <w:rPr>
          <w:rFonts w:ascii="Times New Roman" w:hAnsi="Times New Roman" w:cs="Times New Roman"/>
        </w:rPr>
      </w:pPr>
    </w:p>
    <w:p w:rsidR="007B6CF9" w:rsidRPr="00F609B4" w:rsidRDefault="007B6CF9" w:rsidP="007B6CF9">
      <w:pPr>
        <w:pStyle w:val="ConsPlusNormal"/>
        <w:ind w:firstLine="540"/>
        <w:jc w:val="both"/>
        <w:outlineLvl w:val="2"/>
        <w:rPr>
          <w:b/>
          <w:sz w:val="26"/>
          <w:szCs w:val="26"/>
        </w:rPr>
      </w:pPr>
      <w:bookmarkStart w:id="197" w:name="_Toc448251263"/>
      <w:r w:rsidRPr="00F609B4">
        <w:rPr>
          <w:b/>
          <w:sz w:val="26"/>
          <w:szCs w:val="26"/>
        </w:rPr>
        <w:t>9.4.2. Дополнительные сведения о залоговом обеспечении денежными требованиями по облигациям эмитента с залоговым обеспечением денежными требованиями</w:t>
      </w:r>
      <w:bookmarkEnd w:id="197"/>
    </w:p>
    <w:p w:rsidR="007B6CF9" w:rsidRDefault="007B6CF9" w:rsidP="007B6CF9">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7B6CF9" w:rsidRPr="00C72B73" w:rsidRDefault="007B6CF9" w:rsidP="007B6CF9">
      <w:pPr>
        <w:pStyle w:val="ConsPlusNormal"/>
        <w:jc w:val="both"/>
        <w:rPr>
          <w:rFonts w:ascii="Times New Roman" w:hAnsi="Times New Roman" w:cs="Times New Roman"/>
        </w:rPr>
      </w:pPr>
    </w:p>
    <w:p w:rsidR="007B6CF9" w:rsidRPr="00F609B4" w:rsidRDefault="007B6CF9" w:rsidP="00F609B4">
      <w:pPr>
        <w:widowControl/>
        <w:spacing w:before="0" w:after="0"/>
        <w:ind w:firstLine="540"/>
        <w:jc w:val="both"/>
        <w:outlineLvl w:val="1"/>
        <w:rPr>
          <w:rFonts w:ascii="Arial" w:eastAsiaTheme="minorHAnsi" w:hAnsi="Arial" w:cs="Arial"/>
          <w:b/>
          <w:i/>
          <w:sz w:val="28"/>
          <w:szCs w:val="28"/>
          <w:lang w:eastAsia="en-US"/>
        </w:rPr>
      </w:pPr>
      <w:bookmarkStart w:id="198" w:name="_Toc448251264"/>
      <w:r w:rsidRPr="00F609B4">
        <w:rPr>
          <w:rFonts w:ascii="Arial" w:eastAsiaTheme="minorHAnsi" w:hAnsi="Arial" w:cs="Arial"/>
          <w:b/>
          <w:i/>
          <w:sz w:val="28"/>
          <w:szCs w:val="28"/>
          <w:lang w:eastAsia="en-US"/>
        </w:rPr>
        <w:t>9.5. Сведения об организациях, осуществляющих учет прав на эмиссионные ценные бумаги эмитента</w:t>
      </w:r>
      <w:bookmarkEnd w:id="198"/>
    </w:p>
    <w:p w:rsidR="007B6CF9" w:rsidRPr="00D90449" w:rsidRDefault="007B6CF9" w:rsidP="007B6CF9">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7B6CF9" w:rsidRPr="00C72B73" w:rsidRDefault="007B6CF9" w:rsidP="007B6CF9">
      <w:pPr>
        <w:pStyle w:val="ConsPlusNormal"/>
        <w:jc w:val="both"/>
        <w:rPr>
          <w:rFonts w:ascii="Times New Roman" w:hAnsi="Times New Roman" w:cs="Times New Roman"/>
        </w:rPr>
      </w:pPr>
    </w:p>
    <w:p w:rsidR="007B6CF9" w:rsidRPr="00F609B4" w:rsidRDefault="007B6CF9" w:rsidP="00F609B4">
      <w:pPr>
        <w:widowControl/>
        <w:spacing w:before="0" w:after="0"/>
        <w:ind w:firstLine="540"/>
        <w:jc w:val="both"/>
        <w:outlineLvl w:val="1"/>
        <w:rPr>
          <w:rFonts w:ascii="Arial" w:eastAsiaTheme="minorHAnsi" w:hAnsi="Arial" w:cs="Arial"/>
          <w:b/>
          <w:i/>
          <w:sz w:val="28"/>
          <w:szCs w:val="28"/>
          <w:lang w:eastAsia="en-US"/>
        </w:rPr>
      </w:pPr>
      <w:bookmarkStart w:id="199" w:name="_Toc448251265"/>
      <w:r w:rsidRPr="00F609B4">
        <w:rPr>
          <w:rFonts w:ascii="Arial" w:eastAsiaTheme="minorHAnsi" w:hAnsi="Arial" w:cs="Arial"/>
          <w:b/>
          <w:i/>
          <w:sz w:val="28"/>
          <w:szCs w:val="28"/>
          <w:lang w:eastAsia="en-US"/>
        </w:rPr>
        <w:t>9.6. Сведения о законодательных актах, регулирующих вопросы импорта и экспорта капитала, которые могут повлиять на выплату дивидендов, процентов и других платежей нерезидентам</w:t>
      </w:r>
      <w:bookmarkEnd w:id="199"/>
    </w:p>
    <w:p w:rsidR="00EA5AEC" w:rsidRDefault="00EA5AEC" w:rsidP="00EA5AEC">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7B6CF9" w:rsidRPr="00C72B73" w:rsidRDefault="007B6CF9" w:rsidP="007B6CF9">
      <w:pPr>
        <w:pStyle w:val="ConsPlusNormal"/>
        <w:jc w:val="both"/>
        <w:rPr>
          <w:rFonts w:ascii="Times New Roman" w:hAnsi="Times New Roman" w:cs="Times New Roman"/>
        </w:rPr>
      </w:pPr>
    </w:p>
    <w:p w:rsidR="007B6CF9" w:rsidRPr="00F609B4" w:rsidRDefault="007B6CF9" w:rsidP="00F609B4">
      <w:pPr>
        <w:widowControl/>
        <w:spacing w:before="0" w:after="0"/>
        <w:ind w:firstLine="540"/>
        <w:jc w:val="both"/>
        <w:outlineLvl w:val="1"/>
        <w:rPr>
          <w:rFonts w:ascii="Arial" w:eastAsiaTheme="minorHAnsi" w:hAnsi="Arial" w:cs="Arial"/>
          <w:b/>
          <w:i/>
          <w:sz w:val="28"/>
          <w:szCs w:val="28"/>
          <w:lang w:eastAsia="en-US"/>
        </w:rPr>
      </w:pPr>
      <w:bookmarkStart w:id="200" w:name="_Toc448251266"/>
      <w:r w:rsidRPr="00F609B4">
        <w:rPr>
          <w:rFonts w:ascii="Arial" w:eastAsiaTheme="minorHAnsi" w:hAnsi="Arial" w:cs="Arial"/>
          <w:b/>
          <w:i/>
          <w:sz w:val="28"/>
          <w:szCs w:val="28"/>
          <w:lang w:eastAsia="en-US"/>
        </w:rPr>
        <w:t>9.7. Сведения об объявленных (начисленных) и о выплаченных дивидендах по акциям эмитента, а также о доходах по облигациям эмитента</w:t>
      </w:r>
      <w:bookmarkEnd w:id="200"/>
    </w:p>
    <w:p w:rsidR="00EA5AEC" w:rsidRDefault="00EA5AEC" w:rsidP="007B6CF9">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7B6CF9" w:rsidRPr="00C72B73" w:rsidRDefault="007B6CF9" w:rsidP="007B6CF9">
      <w:pPr>
        <w:pStyle w:val="ConsPlusNormal"/>
        <w:jc w:val="both"/>
        <w:rPr>
          <w:rFonts w:ascii="Times New Roman" w:hAnsi="Times New Roman" w:cs="Times New Roman"/>
        </w:rPr>
      </w:pPr>
    </w:p>
    <w:p w:rsidR="007B6CF9" w:rsidRPr="00F609B4" w:rsidRDefault="007B6CF9" w:rsidP="00F609B4">
      <w:pPr>
        <w:pStyle w:val="ConsPlusNormal"/>
        <w:ind w:firstLine="540"/>
        <w:jc w:val="both"/>
        <w:outlineLvl w:val="2"/>
        <w:rPr>
          <w:b/>
          <w:sz w:val="26"/>
          <w:szCs w:val="26"/>
        </w:rPr>
      </w:pPr>
      <w:bookmarkStart w:id="201" w:name="_Toc448251267"/>
      <w:r w:rsidRPr="00F609B4">
        <w:rPr>
          <w:b/>
          <w:sz w:val="26"/>
          <w:szCs w:val="26"/>
        </w:rPr>
        <w:t>9.7.1. Сведения об объявленных и о выплаченных дивидендах по акциям эмитента</w:t>
      </w:r>
      <w:bookmarkEnd w:id="201"/>
    </w:p>
    <w:p w:rsidR="007B6CF9" w:rsidRPr="007B6CF9" w:rsidRDefault="007B6CF9" w:rsidP="007B6CF9">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7B6CF9" w:rsidRPr="00C72B73" w:rsidRDefault="007B6CF9" w:rsidP="007B6CF9">
      <w:pPr>
        <w:pStyle w:val="ConsPlusNormal"/>
        <w:jc w:val="both"/>
        <w:rPr>
          <w:rFonts w:ascii="Times New Roman" w:hAnsi="Times New Roman" w:cs="Times New Roman"/>
        </w:rPr>
      </w:pPr>
    </w:p>
    <w:p w:rsidR="007B6CF9" w:rsidRPr="00F609B4" w:rsidRDefault="007B6CF9" w:rsidP="007B6CF9">
      <w:pPr>
        <w:pStyle w:val="ConsPlusNormal"/>
        <w:ind w:firstLine="540"/>
        <w:jc w:val="both"/>
        <w:outlineLvl w:val="2"/>
        <w:rPr>
          <w:b/>
          <w:sz w:val="26"/>
          <w:szCs w:val="26"/>
        </w:rPr>
      </w:pPr>
      <w:bookmarkStart w:id="202" w:name="_Toc448251268"/>
      <w:r w:rsidRPr="00F609B4">
        <w:rPr>
          <w:b/>
          <w:sz w:val="26"/>
          <w:szCs w:val="26"/>
        </w:rPr>
        <w:t>9.7.2. Сведения о начисленных и выплаченных доходах по облигациям эмитента</w:t>
      </w:r>
      <w:bookmarkEnd w:id="202"/>
    </w:p>
    <w:p w:rsidR="007B6CF9" w:rsidRPr="007B6CF9" w:rsidRDefault="007B6CF9" w:rsidP="007B6CF9">
      <w:pPr>
        <w:pStyle w:val="ConsPlusNormal"/>
        <w:ind w:firstLine="540"/>
        <w:jc w:val="both"/>
        <w:rPr>
          <w:b/>
          <w:bCs/>
          <w:i/>
          <w:iCs/>
        </w:rPr>
      </w:pPr>
    </w:p>
    <w:p w:rsidR="00E06C80" w:rsidRPr="00A23F05" w:rsidRDefault="00E06C80" w:rsidP="00E06C80">
      <w:pPr>
        <w:pStyle w:val="ConsPlusNormal"/>
        <w:ind w:firstLine="540"/>
        <w:jc w:val="both"/>
        <w:rPr>
          <w:b/>
          <w:bCs/>
          <w:i/>
          <w:iCs/>
        </w:rPr>
      </w:pPr>
      <w:r w:rsidRPr="00A23F05">
        <w:rPr>
          <w:b/>
          <w:bCs/>
          <w:i/>
          <w:iCs/>
        </w:rPr>
        <w:t xml:space="preserve">В соответствии с пунктом </w:t>
      </w:r>
      <w:r>
        <w:rPr>
          <w:b/>
          <w:bCs/>
          <w:i/>
          <w:iCs/>
        </w:rPr>
        <w:t xml:space="preserve">8.10. Положения о раскрытии </w:t>
      </w:r>
      <w:r w:rsidRPr="00A23F05">
        <w:rPr>
          <w:b/>
          <w:bCs/>
          <w:i/>
          <w:iCs/>
        </w:rPr>
        <w:t xml:space="preserve">информация по данному пункту в </w:t>
      </w:r>
      <w:r>
        <w:rPr>
          <w:b/>
          <w:bCs/>
          <w:i/>
          <w:iCs/>
        </w:rPr>
        <w:t>П</w:t>
      </w:r>
      <w:r w:rsidRPr="00A23F05">
        <w:rPr>
          <w:b/>
          <w:bCs/>
          <w:i/>
          <w:iCs/>
        </w:rPr>
        <w:t xml:space="preserve">роспект </w:t>
      </w:r>
      <w:r>
        <w:rPr>
          <w:b/>
          <w:bCs/>
          <w:i/>
          <w:iCs/>
        </w:rPr>
        <w:t>ценных бумаг</w:t>
      </w:r>
      <w:r w:rsidRPr="00A23F05">
        <w:rPr>
          <w:b/>
          <w:bCs/>
          <w:i/>
          <w:iCs/>
        </w:rPr>
        <w:t xml:space="preserve"> не включается.</w:t>
      </w:r>
    </w:p>
    <w:p w:rsidR="007B6CF9" w:rsidRDefault="007B6CF9" w:rsidP="007B6CF9">
      <w:pPr>
        <w:pStyle w:val="ConsPlusNormal"/>
        <w:jc w:val="both"/>
        <w:rPr>
          <w:rFonts w:ascii="Times New Roman" w:hAnsi="Times New Roman" w:cs="Times New Roman"/>
        </w:rPr>
      </w:pPr>
    </w:p>
    <w:p w:rsidR="00750A36" w:rsidRDefault="00750A36" w:rsidP="007B6CF9">
      <w:pPr>
        <w:pStyle w:val="ConsPlusNormal"/>
        <w:jc w:val="both"/>
        <w:rPr>
          <w:rFonts w:ascii="Times New Roman" w:hAnsi="Times New Roman" w:cs="Times New Roman"/>
        </w:rPr>
      </w:pPr>
    </w:p>
    <w:p w:rsidR="00750A36" w:rsidRPr="00C72B73" w:rsidRDefault="00750A36" w:rsidP="007B6CF9">
      <w:pPr>
        <w:pStyle w:val="ConsPlusNormal"/>
        <w:jc w:val="both"/>
        <w:rPr>
          <w:rFonts w:ascii="Times New Roman" w:hAnsi="Times New Roman" w:cs="Times New Roman"/>
        </w:rPr>
      </w:pPr>
    </w:p>
    <w:p w:rsidR="007B6CF9" w:rsidRDefault="007B6CF9" w:rsidP="00F609B4">
      <w:pPr>
        <w:widowControl/>
        <w:spacing w:before="0" w:after="0"/>
        <w:ind w:firstLine="540"/>
        <w:jc w:val="both"/>
        <w:outlineLvl w:val="1"/>
        <w:rPr>
          <w:rFonts w:ascii="Arial" w:eastAsiaTheme="minorHAnsi" w:hAnsi="Arial" w:cs="Arial"/>
          <w:b/>
          <w:i/>
          <w:sz w:val="28"/>
          <w:szCs w:val="28"/>
          <w:lang w:eastAsia="en-US"/>
        </w:rPr>
      </w:pPr>
      <w:bookmarkStart w:id="203" w:name="_Toc448251269"/>
      <w:r w:rsidRPr="00F609B4">
        <w:rPr>
          <w:rFonts w:ascii="Arial" w:eastAsiaTheme="minorHAnsi" w:hAnsi="Arial" w:cs="Arial"/>
          <w:b/>
          <w:i/>
          <w:sz w:val="28"/>
          <w:szCs w:val="28"/>
          <w:lang w:eastAsia="en-US"/>
        </w:rPr>
        <w:t>9.8. Иные сведения</w:t>
      </w:r>
      <w:bookmarkEnd w:id="203"/>
    </w:p>
    <w:p w:rsidR="00750A36" w:rsidRPr="00F609B4" w:rsidRDefault="00750A36" w:rsidP="00F609B4">
      <w:pPr>
        <w:widowControl/>
        <w:spacing w:before="0" w:after="0"/>
        <w:ind w:firstLine="540"/>
        <w:jc w:val="both"/>
        <w:outlineLvl w:val="1"/>
        <w:rPr>
          <w:rFonts w:ascii="Arial" w:eastAsiaTheme="minorHAnsi" w:hAnsi="Arial" w:cs="Arial"/>
          <w:b/>
          <w:i/>
          <w:sz w:val="28"/>
          <w:szCs w:val="28"/>
          <w:lang w:eastAsia="en-US"/>
        </w:rPr>
      </w:pPr>
    </w:p>
    <w:p w:rsidR="000C4FE6" w:rsidRDefault="007B6CF9" w:rsidP="009B26A3">
      <w:pPr>
        <w:pStyle w:val="ConsPlusNormal"/>
        <w:ind w:firstLine="540"/>
        <w:jc w:val="both"/>
      </w:pPr>
      <w:r w:rsidRPr="00C72B73">
        <w:rPr>
          <w:rFonts w:ascii="Times New Roman" w:hAnsi="Times New Roman" w:cs="Times New Roman"/>
        </w:rPr>
        <w:t>По усмотрению эмитента приводится иная информация об эмитенте и его ценных бумагах, не указанная в предыдущих</w:t>
      </w:r>
      <w:r>
        <w:rPr>
          <w:rFonts w:ascii="Times New Roman" w:hAnsi="Times New Roman" w:cs="Times New Roman"/>
        </w:rPr>
        <w:t xml:space="preserve"> пунктах проспекта ценных бумаг: </w:t>
      </w:r>
      <w:r w:rsidRPr="00346D80">
        <w:rPr>
          <w:b/>
          <w:i/>
        </w:rPr>
        <w:t>иная информация отсутствует</w:t>
      </w:r>
      <w:r w:rsidR="00EA5AEC">
        <w:rPr>
          <w:b/>
          <w:i/>
        </w:rPr>
        <w:t>.</w:t>
      </w:r>
    </w:p>
    <w:sectPr w:rsidR="000C4FE6" w:rsidSect="00616EF7">
      <w:footerReference w:type="default" r:id="rId22"/>
      <w:pgSz w:w="11906" w:h="16838"/>
      <w:pgMar w:top="709"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4A07" w:rsidRDefault="003B4A07" w:rsidP="00626F1B">
      <w:pPr>
        <w:spacing w:before="0" w:after="0"/>
      </w:pPr>
      <w:r>
        <w:separator/>
      </w:r>
    </w:p>
  </w:endnote>
  <w:endnote w:type="continuationSeparator" w:id="0">
    <w:p w:rsidR="003B4A07" w:rsidRDefault="003B4A07" w:rsidP="00626F1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PS-BoldItalicMT">
    <w:panose1 w:val="00000000000000000000"/>
    <w:charset w:val="CC"/>
    <w:family w:val="auto"/>
    <w:notTrueType/>
    <w:pitch w:val="default"/>
    <w:sig w:usb0="00000201" w:usb1="00000000" w:usb2="00000000" w:usb3="00000000" w:csb0="00000004" w:csb1="00000000"/>
  </w:font>
  <w:font w:name="Times New Roman,BoldItalic">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9326692"/>
      <w:docPartObj>
        <w:docPartGallery w:val="Page Numbers (Bottom of Page)"/>
        <w:docPartUnique/>
      </w:docPartObj>
    </w:sdtPr>
    <w:sdtEndPr/>
    <w:sdtContent>
      <w:p w:rsidR="003B4A07" w:rsidRDefault="003B4A07">
        <w:pPr>
          <w:pStyle w:val="afb"/>
          <w:jc w:val="center"/>
        </w:pPr>
        <w:r>
          <w:fldChar w:fldCharType="begin"/>
        </w:r>
        <w:r>
          <w:instrText>PAGE   \* MERGEFORMAT</w:instrText>
        </w:r>
        <w:r>
          <w:fldChar w:fldCharType="separate"/>
        </w:r>
        <w:r w:rsidR="00967F08">
          <w:rPr>
            <w:noProof/>
          </w:rPr>
          <w:t>4</w:t>
        </w:r>
        <w:r>
          <w:fldChar w:fldCharType="end"/>
        </w:r>
      </w:p>
    </w:sdtContent>
  </w:sdt>
  <w:p w:rsidR="003B4A07" w:rsidRDefault="003B4A07">
    <w:pPr>
      <w:pStyle w:val="af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4A07" w:rsidRDefault="003B4A07" w:rsidP="00626F1B">
      <w:pPr>
        <w:spacing w:before="0" w:after="0"/>
      </w:pPr>
      <w:r>
        <w:separator/>
      </w:r>
    </w:p>
  </w:footnote>
  <w:footnote w:type="continuationSeparator" w:id="0">
    <w:p w:rsidR="003B4A07" w:rsidRDefault="003B4A07" w:rsidP="00626F1B">
      <w:pPr>
        <w:spacing w:before="0" w:after="0"/>
      </w:pPr>
      <w:r>
        <w:continuationSeparator/>
      </w:r>
    </w:p>
  </w:footnote>
  <w:footnote w:id="1">
    <w:p w:rsidR="003B4A07" w:rsidRPr="007458C3" w:rsidRDefault="003B4A07" w:rsidP="007458C3">
      <w:pPr>
        <w:jc w:val="both"/>
        <w:rPr>
          <w:rFonts w:ascii="Arial" w:hAnsi="Arial" w:cs="Arial"/>
          <w:sz w:val="16"/>
          <w:szCs w:val="16"/>
        </w:rPr>
      </w:pPr>
      <w:r>
        <w:rPr>
          <w:rStyle w:val="af1"/>
        </w:rPr>
        <w:footnoteRef/>
      </w:r>
      <w:r>
        <w:t xml:space="preserve"> </w:t>
      </w:r>
      <w:r w:rsidRPr="007458C3">
        <w:rPr>
          <w:rFonts w:ascii="Arial" w:hAnsi="Arial" w:cs="Arial"/>
          <w:sz w:val="16"/>
          <w:szCs w:val="16"/>
        </w:rPr>
        <w:t>Справочно: В связи с изменением учетной политики (разработкой организацией новых способов ведения бухгалтерского учета) Эмитент пересчитал показатели годовой бухгалтерской отчетности за 2015 г</w:t>
      </w:r>
      <w:r>
        <w:rPr>
          <w:rFonts w:ascii="Arial" w:hAnsi="Arial" w:cs="Arial"/>
          <w:sz w:val="16"/>
          <w:szCs w:val="16"/>
        </w:rPr>
        <w:t>од</w:t>
      </w:r>
      <w:r w:rsidRPr="007458C3">
        <w:rPr>
          <w:rFonts w:ascii="Arial" w:hAnsi="Arial" w:cs="Arial"/>
          <w:sz w:val="16"/>
          <w:szCs w:val="16"/>
        </w:rPr>
        <w:t xml:space="preserve"> ретроспективно, как если бы новая учетная политика применялась с момента возникновения фактов хозяйственной деятельности, так как предполагает более достоверное представление фактов хозяйственной деятельности в бухгалтерском учете и отчетности организации. Соответствующие ретроспективные данные на 31.12.2014 и 31.12.2013 приведены, в том числе, в бухгалтерском</w:t>
      </w:r>
      <w:r>
        <w:rPr>
          <w:rFonts w:ascii="Arial" w:hAnsi="Arial" w:cs="Arial"/>
          <w:sz w:val="16"/>
          <w:szCs w:val="16"/>
        </w:rPr>
        <w:t xml:space="preserve"> балансе Эмитента на 31.12.2015</w:t>
      </w:r>
      <w:r w:rsidRPr="007458C3">
        <w:rPr>
          <w:rFonts w:ascii="Arial" w:hAnsi="Arial" w:cs="Arial"/>
          <w:sz w:val="16"/>
          <w:szCs w:val="16"/>
        </w:rPr>
        <w:t>, за январь-декабрь 2014 года – в отчете о финансовых результатах за январь-декабрь 2015 г</w:t>
      </w:r>
      <w:r>
        <w:rPr>
          <w:rFonts w:ascii="Arial" w:hAnsi="Arial" w:cs="Arial"/>
          <w:sz w:val="16"/>
          <w:szCs w:val="16"/>
        </w:rPr>
        <w:t>ода</w:t>
      </w:r>
      <w:r w:rsidRPr="007458C3">
        <w:rPr>
          <w:rFonts w:ascii="Arial" w:hAnsi="Arial" w:cs="Arial"/>
          <w:sz w:val="16"/>
          <w:szCs w:val="16"/>
        </w:rPr>
        <w:t>. (см. Приложение № 1).</w:t>
      </w:r>
    </w:p>
    <w:p w:rsidR="003B4A07" w:rsidRPr="007458C3" w:rsidRDefault="003B4A07" w:rsidP="007458C3">
      <w:pPr>
        <w:jc w:val="both"/>
        <w:rPr>
          <w:rFonts w:ascii="Arial" w:hAnsi="Arial" w:cs="Arial"/>
          <w:sz w:val="16"/>
          <w:szCs w:val="16"/>
        </w:rPr>
      </w:pPr>
      <w:r w:rsidRPr="007458C3">
        <w:rPr>
          <w:rFonts w:ascii="Arial" w:hAnsi="Arial" w:cs="Arial"/>
          <w:sz w:val="16"/>
          <w:szCs w:val="16"/>
        </w:rPr>
        <w:t>Эмитент справочно приводит значения показателей, характеризующих результаты финансово-хозяйственной деятельности эмитента, в том числе ее прибыльность или убыточность, рассчитанных на основании ретроспективных данных за 2014 г</w:t>
      </w:r>
      <w:r>
        <w:rPr>
          <w:rFonts w:ascii="Arial" w:hAnsi="Arial" w:cs="Arial"/>
          <w:sz w:val="16"/>
          <w:szCs w:val="16"/>
        </w:rPr>
        <w:t>од</w:t>
      </w:r>
      <w:r w:rsidRPr="007458C3">
        <w:rPr>
          <w:rFonts w:ascii="Arial" w:hAnsi="Arial" w:cs="Arial"/>
          <w:sz w:val="16"/>
          <w:szCs w:val="16"/>
        </w:rPr>
        <w:t>, представленных в бухгалтерской отчётности Эмитента за 2015 г</w:t>
      </w:r>
      <w:r>
        <w:rPr>
          <w:rFonts w:ascii="Arial" w:hAnsi="Arial" w:cs="Arial"/>
          <w:sz w:val="16"/>
          <w:szCs w:val="16"/>
        </w:rPr>
        <w:t>од</w:t>
      </w:r>
      <w:r w:rsidRPr="007458C3">
        <w:rPr>
          <w:rFonts w:ascii="Arial" w:hAnsi="Arial" w:cs="Arial"/>
          <w:sz w:val="16"/>
          <w:szCs w:val="16"/>
        </w:rPr>
        <w:t>.</w:t>
      </w: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247"/>
      </w:tblGrid>
      <w:tr w:rsidR="003B4A07" w:rsidRPr="007458C3" w:rsidTr="007A47A2">
        <w:tc>
          <w:tcPr>
            <w:tcW w:w="8222" w:type="dxa"/>
            <w:shd w:val="clear" w:color="auto" w:fill="auto"/>
          </w:tcPr>
          <w:p w:rsidR="003B4A07" w:rsidRPr="007458C3" w:rsidRDefault="003B4A07" w:rsidP="007A47A2">
            <w:pPr>
              <w:jc w:val="center"/>
              <w:rPr>
                <w:rFonts w:ascii="Arial" w:hAnsi="Arial" w:cs="Arial"/>
                <w:sz w:val="16"/>
                <w:szCs w:val="16"/>
              </w:rPr>
            </w:pPr>
            <w:r w:rsidRPr="007458C3">
              <w:rPr>
                <w:rFonts w:ascii="Arial" w:hAnsi="Arial" w:cs="Arial"/>
                <w:sz w:val="16"/>
                <w:szCs w:val="16"/>
              </w:rPr>
              <w:t>Наименование статьи</w:t>
            </w:r>
          </w:p>
        </w:tc>
        <w:tc>
          <w:tcPr>
            <w:tcW w:w="1247" w:type="dxa"/>
            <w:shd w:val="clear" w:color="auto" w:fill="auto"/>
          </w:tcPr>
          <w:p w:rsidR="003B4A07" w:rsidRPr="007458C3" w:rsidRDefault="003B4A07" w:rsidP="007A47A2">
            <w:pPr>
              <w:jc w:val="center"/>
              <w:rPr>
                <w:rFonts w:ascii="Arial" w:hAnsi="Arial" w:cs="Arial"/>
                <w:sz w:val="16"/>
                <w:szCs w:val="16"/>
              </w:rPr>
            </w:pPr>
            <w:r w:rsidRPr="007458C3">
              <w:rPr>
                <w:rFonts w:ascii="Arial" w:hAnsi="Arial" w:cs="Arial"/>
                <w:sz w:val="16"/>
                <w:szCs w:val="16"/>
              </w:rPr>
              <w:t>2014</w:t>
            </w:r>
          </w:p>
        </w:tc>
      </w:tr>
      <w:tr w:rsidR="003B4A07" w:rsidRPr="007458C3" w:rsidTr="007A47A2">
        <w:tc>
          <w:tcPr>
            <w:tcW w:w="8222" w:type="dxa"/>
            <w:shd w:val="clear" w:color="auto" w:fill="auto"/>
          </w:tcPr>
          <w:p w:rsidR="003B4A07" w:rsidRPr="007458C3" w:rsidRDefault="003B4A07" w:rsidP="007A47A2">
            <w:pPr>
              <w:rPr>
                <w:rFonts w:ascii="Arial" w:eastAsia="Calibri" w:hAnsi="Arial" w:cs="Arial"/>
                <w:bCs/>
                <w:sz w:val="16"/>
                <w:szCs w:val="16"/>
              </w:rPr>
            </w:pPr>
            <w:r w:rsidRPr="007458C3">
              <w:rPr>
                <w:rFonts w:ascii="Arial" w:eastAsia="Calibri" w:hAnsi="Arial" w:cs="Arial"/>
                <w:bCs/>
                <w:sz w:val="16"/>
                <w:szCs w:val="16"/>
              </w:rPr>
              <w:t xml:space="preserve">Норма чистой прибыли, % </w:t>
            </w:r>
          </w:p>
          <w:p w:rsidR="003B4A07" w:rsidRPr="007458C3" w:rsidRDefault="003B4A07" w:rsidP="007A47A2">
            <w:pPr>
              <w:rPr>
                <w:rFonts w:ascii="Arial" w:eastAsia="Calibri" w:hAnsi="Arial" w:cs="Arial"/>
                <w:bCs/>
                <w:sz w:val="16"/>
                <w:szCs w:val="16"/>
              </w:rPr>
            </w:pPr>
            <w:r w:rsidRPr="007458C3">
              <w:rPr>
                <w:rFonts w:ascii="Arial" w:eastAsia="Calibri" w:hAnsi="Arial" w:cs="Arial"/>
                <w:bCs/>
                <w:sz w:val="16"/>
                <w:szCs w:val="16"/>
              </w:rPr>
              <w:t>(Чистая прибыль / Выручка от продаж) x 100</w:t>
            </w:r>
          </w:p>
        </w:tc>
        <w:tc>
          <w:tcPr>
            <w:tcW w:w="1247" w:type="dxa"/>
            <w:shd w:val="clear" w:color="auto" w:fill="auto"/>
            <w:vAlign w:val="center"/>
          </w:tcPr>
          <w:p w:rsidR="003B4A07" w:rsidRPr="007458C3" w:rsidRDefault="003B4A07" w:rsidP="007A47A2">
            <w:pPr>
              <w:jc w:val="center"/>
              <w:rPr>
                <w:rFonts w:ascii="Arial" w:eastAsia="Calibri" w:hAnsi="Arial" w:cs="Arial"/>
                <w:bCs/>
                <w:sz w:val="16"/>
                <w:szCs w:val="16"/>
              </w:rPr>
            </w:pPr>
            <w:r w:rsidRPr="007458C3">
              <w:rPr>
                <w:rFonts w:ascii="Arial" w:eastAsia="Calibri" w:hAnsi="Arial" w:cs="Arial"/>
                <w:bCs/>
                <w:sz w:val="16"/>
                <w:szCs w:val="16"/>
              </w:rPr>
              <w:t>15.95</w:t>
            </w:r>
          </w:p>
        </w:tc>
      </w:tr>
      <w:tr w:rsidR="003B4A07" w:rsidRPr="007458C3" w:rsidTr="007A47A2">
        <w:tc>
          <w:tcPr>
            <w:tcW w:w="8222" w:type="dxa"/>
            <w:shd w:val="clear" w:color="auto" w:fill="auto"/>
          </w:tcPr>
          <w:p w:rsidR="003B4A07" w:rsidRPr="007458C3" w:rsidRDefault="003B4A07" w:rsidP="007A47A2">
            <w:pPr>
              <w:rPr>
                <w:rFonts w:ascii="Arial" w:eastAsia="Calibri" w:hAnsi="Arial" w:cs="Arial"/>
                <w:bCs/>
                <w:sz w:val="16"/>
                <w:szCs w:val="16"/>
              </w:rPr>
            </w:pPr>
            <w:r w:rsidRPr="007458C3">
              <w:rPr>
                <w:rFonts w:ascii="Arial" w:eastAsia="Calibri" w:hAnsi="Arial" w:cs="Arial"/>
                <w:bCs/>
                <w:sz w:val="16"/>
                <w:szCs w:val="16"/>
              </w:rPr>
              <w:t xml:space="preserve">Коэффициент оборачиваемости активов, раз </w:t>
            </w:r>
          </w:p>
          <w:p w:rsidR="003B4A07" w:rsidRPr="007458C3" w:rsidRDefault="003B4A07" w:rsidP="007A47A2">
            <w:pPr>
              <w:rPr>
                <w:rFonts w:ascii="Arial" w:eastAsia="Calibri" w:hAnsi="Arial" w:cs="Arial"/>
                <w:bCs/>
                <w:sz w:val="16"/>
                <w:szCs w:val="16"/>
              </w:rPr>
            </w:pPr>
            <w:r w:rsidRPr="007458C3">
              <w:rPr>
                <w:rFonts w:ascii="Arial" w:eastAsia="Calibri" w:hAnsi="Arial" w:cs="Arial"/>
                <w:bCs/>
                <w:sz w:val="16"/>
                <w:szCs w:val="16"/>
              </w:rPr>
              <w:t>Выручка от продаж / Балансовая стоимость активов</w:t>
            </w:r>
          </w:p>
        </w:tc>
        <w:tc>
          <w:tcPr>
            <w:tcW w:w="1247" w:type="dxa"/>
            <w:shd w:val="clear" w:color="auto" w:fill="auto"/>
            <w:vAlign w:val="center"/>
          </w:tcPr>
          <w:p w:rsidR="003B4A07" w:rsidRPr="007458C3" w:rsidRDefault="003B4A07" w:rsidP="007A47A2">
            <w:pPr>
              <w:jc w:val="center"/>
              <w:rPr>
                <w:rFonts w:ascii="Arial" w:eastAsia="Calibri" w:hAnsi="Arial" w:cs="Arial"/>
                <w:bCs/>
                <w:sz w:val="16"/>
                <w:szCs w:val="16"/>
              </w:rPr>
            </w:pPr>
            <w:r w:rsidRPr="007458C3">
              <w:rPr>
                <w:rFonts w:ascii="Arial" w:eastAsia="Calibri" w:hAnsi="Arial" w:cs="Arial"/>
                <w:bCs/>
                <w:sz w:val="16"/>
                <w:szCs w:val="16"/>
              </w:rPr>
              <w:t>0.28</w:t>
            </w:r>
          </w:p>
        </w:tc>
      </w:tr>
      <w:tr w:rsidR="003B4A07" w:rsidRPr="007458C3" w:rsidTr="007A47A2">
        <w:tc>
          <w:tcPr>
            <w:tcW w:w="8222" w:type="dxa"/>
            <w:shd w:val="clear" w:color="auto" w:fill="auto"/>
          </w:tcPr>
          <w:p w:rsidR="003B4A07" w:rsidRPr="007458C3" w:rsidRDefault="003B4A07" w:rsidP="007A47A2">
            <w:pPr>
              <w:rPr>
                <w:rFonts w:ascii="Arial" w:eastAsia="Calibri" w:hAnsi="Arial" w:cs="Arial"/>
                <w:bCs/>
                <w:sz w:val="16"/>
                <w:szCs w:val="16"/>
              </w:rPr>
            </w:pPr>
            <w:r w:rsidRPr="007458C3">
              <w:rPr>
                <w:rFonts w:ascii="Arial" w:eastAsia="Calibri" w:hAnsi="Arial" w:cs="Arial"/>
                <w:bCs/>
                <w:sz w:val="16"/>
                <w:szCs w:val="16"/>
              </w:rPr>
              <w:t xml:space="preserve">Рентабельность активов, % </w:t>
            </w:r>
          </w:p>
          <w:p w:rsidR="003B4A07" w:rsidRPr="007458C3" w:rsidRDefault="003B4A07" w:rsidP="007A47A2">
            <w:pPr>
              <w:rPr>
                <w:rFonts w:ascii="Arial" w:eastAsia="Calibri" w:hAnsi="Arial" w:cs="Arial"/>
                <w:bCs/>
                <w:sz w:val="16"/>
                <w:szCs w:val="16"/>
              </w:rPr>
            </w:pPr>
            <w:r w:rsidRPr="007458C3">
              <w:rPr>
                <w:rFonts w:ascii="Arial" w:eastAsia="Calibri" w:hAnsi="Arial" w:cs="Arial"/>
                <w:bCs/>
                <w:sz w:val="16"/>
                <w:szCs w:val="16"/>
              </w:rPr>
              <w:t>(Чистая прибыль / Балансовая стоимость активов) x 100</w:t>
            </w:r>
          </w:p>
        </w:tc>
        <w:tc>
          <w:tcPr>
            <w:tcW w:w="1247" w:type="dxa"/>
            <w:shd w:val="clear" w:color="auto" w:fill="auto"/>
            <w:vAlign w:val="center"/>
          </w:tcPr>
          <w:p w:rsidR="003B4A07" w:rsidRPr="007458C3" w:rsidRDefault="003B4A07" w:rsidP="007A47A2">
            <w:pPr>
              <w:jc w:val="center"/>
              <w:rPr>
                <w:rFonts w:ascii="Arial" w:eastAsia="Calibri" w:hAnsi="Arial" w:cs="Arial"/>
                <w:bCs/>
                <w:sz w:val="16"/>
                <w:szCs w:val="16"/>
              </w:rPr>
            </w:pPr>
            <w:r w:rsidRPr="007458C3">
              <w:rPr>
                <w:rFonts w:ascii="Arial" w:eastAsia="Calibri" w:hAnsi="Arial" w:cs="Arial"/>
                <w:bCs/>
                <w:sz w:val="16"/>
                <w:szCs w:val="16"/>
              </w:rPr>
              <w:t>4.53</w:t>
            </w:r>
          </w:p>
        </w:tc>
      </w:tr>
      <w:tr w:rsidR="003B4A07" w:rsidRPr="007458C3" w:rsidTr="007A47A2">
        <w:tc>
          <w:tcPr>
            <w:tcW w:w="8222" w:type="dxa"/>
            <w:shd w:val="clear" w:color="auto" w:fill="auto"/>
          </w:tcPr>
          <w:p w:rsidR="003B4A07" w:rsidRPr="007458C3" w:rsidRDefault="003B4A07" w:rsidP="007A47A2">
            <w:pPr>
              <w:rPr>
                <w:rFonts w:ascii="Arial" w:eastAsia="Calibri" w:hAnsi="Arial" w:cs="Arial"/>
                <w:bCs/>
                <w:sz w:val="16"/>
                <w:szCs w:val="16"/>
              </w:rPr>
            </w:pPr>
            <w:r w:rsidRPr="007458C3">
              <w:rPr>
                <w:rFonts w:ascii="Arial" w:eastAsia="Calibri" w:hAnsi="Arial" w:cs="Arial"/>
                <w:bCs/>
                <w:sz w:val="16"/>
                <w:szCs w:val="16"/>
              </w:rPr>
              <w:t>Рентабельность собственного капитала, %</w:t>
            </w:r>
          </w:p>
          <w:p w:rsidR="003B4A07" w:rsidRPr="007458C3" w:rsidRDefault="003B4A07" w:rsidP="007A47A2">
            <w:pPr>
              <w:rPr>
                <w:rFonts w:ascii="Arial" w:eastAsia="Calibri" w:hAnsi="Arial" w:cs="Arial"/>
                <w:bCs/>
                <w:sz w:val="16"/>
                <w:szCs w:val="16"/>
              </w:rPr>
            </w:pPr>
            <w:r w:rsidRPr="007458C3">
              <w:rPr>
                <w:rFonts w:ascii="Arial" w:eastAsia="Calibri" w:hAnsi="Arial" w:cs="Arial"/>
                <w:bCs/>
                <w:sz w:val="16"/>
                <w:szCs w:val="16"/>
              </w:rPr>
              <w:t>(Чистая прибыль / Капитал и резервы) x 100</w:t>
            </w:r>
          </w:p>
        </w:tc>
        <w:tc>
          <w:tcPr>
            <w:tcW w:w="1247" w:type="dxa"/>
            <w:shd w:val="clear" w:color="auto" w:fill="auto"/>
            <w:vAlign w:val="center"/>
          </w:tcPr>
          <w:p w:rsidR="003B4A07" w:rsidRPr="007458C3" w:rsidRDefault="003B4A07" w:rsidP="007A47A2">
            <w:pPr>
              <w:jc w:val="center"/>
              <w:rPr>
                <w:rFonts w:ascii="Arial" w:eastAsia="Calibri" w:hAnsi="Arial" w:cs="Arial"/>
                <w:bCs/>
                <w:sz w:val="16"/>
                <w:szCs w:val="16"/>
              </w:rPr>
            </w:pPr>
            <w:r w:rsidRPr="007458C3">
              <w:rPr>
                <w:rFonts w:ascii="Arial" w:eastAsia="Calibri" w:hAnsi="Arial" w:cs="Arial"/>
                <w:bCs/>
                <w:sz w:val="16"/>
                <w:szCs w:val="16"/>
              </w:rPr>
              <w:t>14.22</w:t>
            </w:r>
          </w:p>
        </w:tc>
      </w:tr>
      <w:tr w:rsidR="003B4A07" w:rsidRPr="007458C3" w:rsidTr="007A47A2">
        <w:tc>
          <w:tcPr>
            <w:tcW w:w="8222" w:type="dxa"/>
            <w:shd w:val="clear" w:color="auto" w:fill="auto"/>
          </w:tcPr>
          <w:p w:rsidR="003B4A07" w:rsidRPr="007458C3" w:rsidRDefault="003B4A07" w:rsidP="007A47A2">
            <w:pPr>
              <w:rPr>
                <w:rFonts w:ascii="Arial" w:eastAsia="Calibri" w:hAnsi="Arial" w:cs="Arial"/>
                <w:bCs/>
                <w:sz w:val="16"/>
                <w:szCs w:val="16"/>
              </w:rPr>
            </w:pPr>
            <w:r w:rsidRPr="007458C3">
              <w:rPr>
                <w:rFonts w:ascii="Arial" w:eastAsia="Calibri" w:hAnsi="Arial" w:cs="Arial"/>
                <w:bCs/>
                <w:sz w:val="16"/>
                <w:szCs w:val="16"/>
              </w:rPr>
              <w:t xml:space="preserve">Сумма непокрытого убытка на отчетную дату, тыс. руб. </w:t>
            </w:r>
          </w:p>
          <w:p w:rsidR="003B4A07" w:rsidRPr="007458C3" w:rsidRDefault="003B4A07" w:rsidP="007A47A2">
            <w:pPr>
              <w:rPr>
                <w:rFonts w:ascii="Arial" w:eastAsia="Calibri" w:hAnsi="Arial" w:cs="Arial"/>
                <w:bCs/>
                <w:sz w:val="16"/>
                <w:szCs w:val="16"/>
              </w:rPr>
            </w:pPr>
            <w:r w:rsidRPr="007458C3">
              <w:rPr>
                <w:rFonts w:ascii="Arial" w:eastAsia="Calibri" w:hAnsi="Arial" w:cs="Arial"/>
                <w:bCs/>
                <w:sz w:val="16"/>
                <w:szCs w:val="16"/>
              </w:rPr>
              <w:t>Непокрытый убыток прошлых лет + непокрытый убыток отчетного года</w:t>
            </w:r>
          </w:p>
        </w:tc>
        <w:tc>
          <w:tcPr>
            <w:tcW w:w="1247" w:type="dxa"/>
            <w:shd w:val="clear" w:color="auto" w:fill="auto"/>
            <w:vAlign w:val="center"/>
          </w:tcPr>
          <w:p w:rsidR="003B4A07" w:rsidRPr="007458C3" w:rsidRDefault="003B4A07" w:rsidP="007A47A2">
            <w:pPr>
              <w:jc w:val="center"/>
              <w:rPr>
                <w:rFonts w:ascii="Arial" w:eastAsia="Calibri" w:hAnsi="Arial" w:cs="Arial"/>
                <w:bCs/>
                <w:sz w:val="16"/>
                <w:szCs w:val="16"/>
              </w:rPr>
            </w:pPr>
            <w:r w:rsidRPr="007458C3">
              <w:rPr>
                <w:rFonts w:ascii="Arial" w:eastAsia="Calibri" w:hAnsi="Arial" w:cs="Arial"/>
                <w:bCs/>
                <w:sz w:val="16"/>
                <w:szCs w:val="16"/>
              </w:rPr>
              <w:t>0</w:t>
            </w:r>
          </w:p>
        </w:tc>
      </w:tr>
      <w:tr w:rsidR="003B4A07" w:rsidRPr="007458C3" w:rsidTr="007A47A2">
        <w:tc>
          <w:tcPr>
            <w:tcW w:w="8222" w:type="dxa"/>
            <w:shd w:val="clear" w:color="auto" w:fill="auto"/>
          </w:tcPr>
          <w:p w:rsidR="003B4A07" w:rsidRPr="007458C3" w:rsidRDefault="003B4A07" w:rsidP="007A47A2">
            <w:pPr>
              <w:rPr>
                <w:rFonts w:ascii="Arial" w:eastAsia="Calibri" w:hAnsi="Arial" w:cs="Arial"/>
                <w:bCs/>
                <w:sz w:val="16"/>
                <w:szCs w:val="16"/>
              </w:rPr>
            </w:pPr>
            <w:r w:rsidRPr="007458C3">
              <w:rPr>
                <w:rFonts w:ascii="Arial" w:eastAsia="Calibri" w:hAnsi="Arial" w:cs="Arial"/>
                <w:bCs/>
                <w:sz w:val="16"/>
                <w:szCs w:val="16"/>
              </w:rPr>
              <w:t xml:space="preserve">Соотношение непокрытого убытка на отчетную дату и балансовой стоимости активов, % </w:t>
            </w:r>
          </w:p>
          <w:p w:rsidR="003B4A07" w:rsidRPr="007458C3" w:rsidRDefault="003B4A07" w:rsidP="007A47A2">
            <w:pPr>
              <w:rPr>
                <w:rFonts w:ascii="Arial" w:eastAsia="Calibri" w:hAnsi="Arial" w:cs="Arial"/>
                <w:bCs/>
                <w:sz w:val="16"/>
                <w:szCs w:val="16"/>
              </w:rPr>
            </w:pPr>
            <w:r w:rsidRPr="007458C3">
              <w:rPr>
                <w:rFonts w:ascii="Arial" w:eastAsia="Calibri" w:hAnsi="Arial" w:cs="Arial"/>
                <w:bCs/>
                <w:sz w:val="16"/>
                <w:szCs w:val="16"/>
              </w:rPr>
              <w:t>(Сумма непокрытого убытка на отчетную дату / Балансовая стоимость активов) x 100</w:t>
            </w:r>
          </w:p>
        </w:tc>
        <w:tc>
          <w:tcPr>
            <w:tcW w:w="1247" w:type="dxa"/>
            <w:shd w:val="clear" w:color="auto" w:fill="auto"/>
            <w:vAlign w:val="center"/>
          </w:tcPr>
          <w:p w:rsidR="003B4A07" w:rsidRPr="007458C3" w:rsidRDefault="003B4A07" w:rsidP="007A47A2">
            <w:pPr>
              <w:jc w:val="center"/>
              <w:rPr>
                <w:rFonts w:ascii="Arial" w:eastAsia="Calibri" w:hAnsi="Arial" w:cs="Arial"/>
                <w:bCs/>
                <w:sz w:val="16"/>
                <w:szCs w:val="16"/>
              </w:rPr>
            </w:pPr>
            <w:r w:rsidRPr="007458C3">
              <w:rPr>
                <w:rFonts w:ascii="Arial" w:eastAsia="Calibri" w:hAnsi="Arial" w:cs="Arial"/>
                <w:bCs/>
                <w:sz w:val="16"/>
                <w:szCs w:val="16"/>
              </w:rPr>
              <w:t>0</w:t>
            </w:r>
          </w:p>
        </w:tc>
      </w:tr>
    </w:tbl>
    <w:p w:rsidR="003B4A07" w:rsidRPr="005C0A98" w:rsidRDefault="003B4A07" w:rsidP="007458C3">
      <w:pPr>
        <w:jc w:val="both"/>
      </w:pPr>
    </w:p>
  </w:footnote>
  <w:footnote w:id="2">
    <w:p w:rsidR="003B4A07" w:rsidRDefault="003B4A07">
      <w:pPr>
        <w:pStyle w:val="af"/>
      </w:pPr>
      <w:r>
        <w:rPr>
          <w:rStyle w:val="af1"/>
        </w:rPr>
        <w:footnoteRef/>
      </w:r>
      <w:r>
        <w:t xml:space="preserve"> </w:t>
      </w:r>
      <w:r w:rsidRPr="007458C3">
        <w:rPr>
          <w:rFonts w:ascii="Arial" w:eastAsia="Times New Roman" w:hAnsi="Arial" w:cs="Arial"/>
          <w:sz w:val="16"/>
          <w:szCs w:val="16"/>
        </w:rPr>
        <w:t>Тоже самое</w:t>
      </w:r>
    </w:p>
  </w:footnote>
  <w:footnote w:id="3">
    <w:p w:rsidR="003B4A07" w:rsidRPr="006745BA" w:rsidRDefault="003B4A07" w:rsidP="00993DFC">
      <w:pPr>
        <w:widowControl/>
        <w:spacing w:before="0" w:after="0"/>
        <w:ind w:firstLine="567"/>
        <w:jc w:val="both"/>
        <w:rPr>
          <w:rFonts w:ascii="Times New Roman,BoldItalic" w:eastAsiaTheme="minorHAnsi" w:hAnsi="Times New Roman,BoldItalic" w:cs="Times New Roman,BoldItalic"/>
          <w:b/>
          <w:bCs/>
          <w:i/>
          <w:iCs/>
          <w:sz w:val="16"/>
          <w:szCs w:val="16"/>
          <w:u w:val="single"/>
          <w:lang w:eastAsia="en-US"/>
        </w:rPr>
      </w:pPr>
      <w:r>
        <w:rPr>
          <w:rStyle w:val="af1"/>
        </w:rPr>
        <w:footnoteRef/>
      </w:r>
      <w:r>
        <w:t xml:space="preserve"> </w:t>
      </w:r>
      <w:r w:rsidRPr="006745BA">
        <w:rPr>
          <w:rFonts w:ascii="Arial" w:eastAsiaTheme="minorHAnsi" w:hAnsi="Arial" w:cs="Arial"/>
          <w:bCs/>
          <w:iCs/>
          <w:sz w:val="16"/>
          <w:szCs w:val="16"/>
          <w:lang w:eastAsia="en-US"/>
        </w:rPr>
        <w:t>Необходимо отметить, что в</w:t>
      </w:r>
      <w:r w:rsidRPr="006745BA">
        <w:rPr>
          <w:rFonts w:ascii="Arial" w:hAnsi="Arial" w:cs="Arial"/>
          <w:sz w:val="16"/>
          <w:szCs w:val="16"/>
        </w:rPr>
        <w:t xml:space="preserve"> связи с изменением учетной политики (разработкой организацией новых способов ведения бухгалтерского учета) Эмитент пересчитал показатели годовой бухгалтерской отчетности за 2015 год ретроспективно, как если бы новая учетная политика применялась с момента возникновения фактов хозяйственной деятельности, так как предполагает более достоверное представление фактов хозяйственной деятельности в бухгалтерском учете и отчетности организации. В настоящем пункте Эмитентом справочно приведены значения показателей, характеризующих результаты финансово-хозяйственной деятельности Эмитента, в том числе ее прибыльность или убыточность, рассчитанные на основании ретроспективных данных за 2014 год, представленных в бухгалтерской отчётности Эмитента за 2015 год.</w:t>
      </w:r>
    </w:p>
    <w:p w:rsidR="003B4A07" w:rsidRDefault="003B4A07">
      <w:pPr>
        <w:pStyle w:val="af"/>
      </w:pPr>
    </w:p>
  </w:footnote>
  <w:footnote w:id="4">
    <w:p w:rsidR="003B4A07" w:rsidRPr="00DC3EF7" w:rsidRDefault="003B4A07" w:rsidP="00B95261">
      <w:pPr>
        <w:pStyle w:val="af"/>
        <w:jc w:val="both"/>
        <w:rPr>
          <w:rFonts w:ascii="Arial" w:hAnsi="Arial" w:cs="Arial"/>
          <w:sz w:val="16"/>
          <w:szCs w:val="16"/>
        </w:rPr>
      </w:pPr>
      <w:r>
        <w:rPr>
          <w:rStyle w:val="af1"/>
        </w:rPr>
        <w:footnoteRef/>
      </w:r>
      <w:r>
        <w:t xml:space="preserve"> </w:t>
      </w:r>
      <w:r w:rsidRPr="00DC3EF7">
        <w:rPr>
          <w:rFonts w:ascii="Arial" w:eastAsiaTheme="minorHAnsi" w:hAnsi="Arial" w:cs="Arial"/>
          <w:bCs/>
          <w:iCs/>
          <w:sz w:val="16"/>
          <w:szCs w:val="16"/>
          <w:lang w:eastAsia="en-US"/>
        </w:rPr>
        <w:t>Также необходимо отметить, что в</w:t>
      </w:r>
      <w:r w:rsidRPr="00DC3EF7">
        <w:rPr>
          <w:rFonts w:ascii="Arial" w:hAnsi="Arial" w:cs="Arial"/>
          <w:sz w:val="16"/>
          <w:szCs w:val="16"/>
        </w:rPr>
        <w:t xml:space="preserve"> связи с изменением учетной политики (разработкой организацией новых способов ведения бухгалтерского учета) Эмитент пересчитал показатели годовой бухгалтерской отчетности за 2015 год ретроспективно, как если бы новая учетная политика применялась с момента возникновения фактов хозяйственной деятельности, так как предполагает более достоверное представление фактов хозяйственной деятельности в бухгалтерском учете и отчетности организации. В настоящем пункте Эмитентом справочно приведены значения показателей, характеризующих результаты финансово-хозяйственной деятельности Эмитента, в том числе ее прибыльность или убыточность, рассчитанные на основании ретроспективных данных за 2014 год, представленных в бухгалтерской отчётности Эмитента за 2015 год.</w:t>
      </w:r>
    </w:p>
  </w:footnote>
  <w:footnote w:id="5">
    <w:p w:rsidR="003B4A07" w:rsidRPr="00DC3EF7" w:rsidRDefault="003B4A07" w:rsidP="00366F6A">
      <w:pPr>
        <w:jc w:val="both"/>
        <w:rPr>
          <w:rFonts w:ascii="Arial" w:hAnsi="Arial" w:cs="Arial"/>
          <w:sz w:val="16"/>
          <w:szCs w:val="16"/>
        </w:rPr>
      </w:pPr>
      <w:r>
        <w:rPr>
          <w:rStyle w:val="af1"/>
        </w:rPr>
        <w:footnoteRef/>
      </w:r>
      <w:r>
        <w:t xml:space="preserve"> </w:t>
      </w:r>
      <w:r w:rsidRPr="00DC3EF7">
        <w:rPr>
          <w:rFonts w:ascii="Arial" w:hAnsi="Arial" w:cs="Arial"/>
          <w:sz w:val="16"/>
          <w:szCs w:val="16"/>
        </w:rPr>
        <w:t>Справочно: В связи с изменением учетной политики (разработкой организацией новых способов ведения бухгалтерского учета) Эмитент пересчитал показатели годовой бухгалтерской отчетности за 2015 год ретроспективно, как если бы новая учетная политика применялась с момента возникновения фактов хозяйственной деятельности, так как предполагает более достоверное представление фактов хозяйственной деятельности в бухгалтерском учете и отчетности организации. Соответствующие ретроспективные данные на 31.12.2014 и 31.12.2013 приведены, в том числе, в бухгалтерском балансе Эмитента на 31.12.2015, за январь-декабрь 2014 года – в отчете о финансовых результатах за январь-декабрь 2015 год (см. Приложение № 1).</w:t>
      </w:r>
    </w:p>
    <w:p w:rsidR="003B4A07" w:rsidRPr="00DC3EF7" w:rsidRDefault="003B4A07" w:rsidP="00DC3EF7">
      <w:pPr>
        <w:ind w:firstLine="567"/>
        <w:jc w:val="both"/>
        <w:rPr>
          <w:rFonts w:ascii="Arial" w:hAnsi="Arial" w:cs="Arial"/>
          <w:sz w:val="16"/>
          <w:szCs w:val="16"/>
        </w:rPr>
      </w:pPr>
      <w:r w:rsidRPr="00DC3EF7">
        <w:rPr>
          <w:rFonts w:ascii="Arial" w:hAnsi="Arial" w:cs="Arial"/>
          <w:sz w:val="16"/>
          <w:szCs w:val="16"/>
        </w:rPr>
        <w:t>Эмитент справочно приводит значения показателей, характеризующих ликвидность Эмитента, рассчитанных на основании ретроспективных данных на 31.12.2013 и 31.12.2014, представленных в бухгалтерской отчётности Эмитента за 2015 год.</w:t>
      </w:r>
    </w:p>
    <w:tbl>
      <w:tblPr>
        <w:tblW w:w="9634" w:type="dxa"/>
        <w:tblLayout w:type="fixed"/>
        <w:tblLook w:val="0000" w:firstRow="0" w:lastRow="0" w:firstColumn="0" w:lastColumn="0" w:noHBand="0" w:noVBand="0"/>
      </w:tblPr>
      <w:tblGrid>
        <w:gridCol w:w="7083"/>
        <w:gridCol w:w="1275"/>
        <w:gridCol w:w="1276"/>
      </w:tblGrid>
      <w:tr w:rsidR="003B4A07" w:rsidRPr="00DC3EF7" w:rsidTr="007A47A2">
        <w:trPr>
          <w:trHeight w:val="271"/>
        </w:trPr>
        <w:tc>
          <w:tcPr>
            <w:tcW w:w="7083" w:type="dxa"/>
            <w:tcBorders>
              <w:top w:val="single" w:sz="4" w:space="0" w:color="auto"/>
              <w:left w:val="single" w:sz="4" w:space="0" w:color="auto"/>
              <w:bottom w:val="single" w:sz="4" w:space="0" w:color="auto"/>
              <w:right w:val="single" w:sz="4" w:space="0" w:color="auto"/>
            </w:tcBorders>
            <w:vAlign w:val="center"/>
          </w:tcPr>
          <w:p w:rsidR="003B4A07" w:rsidRPr="00DC3EF7" w:rsidRDefault="003B4A07" w:rsidP="007A47A2">
            <w:pPr>
              <w:ind w:right="34"/>
              <w:jc w:val="center"/>
              <w:rPr>
                <w:sz w:val="16"/>
                <w:szCs w:val="16"/>
              </w:rPr>
            </w:pPr>
            <w:r w:rsidRPr="00DC3EF7">
              <w:rPr>
                <w:rFonts w:eastAsia="Calibri"/>
                <w:sz w:val="16"/>
                <w:szCs w:val="16"/>
              </w:rPr>
              <w:t>Наименование показателя</w:t>
            </w:r>
          </w:p>
        </w:tc>
        <w:tc>
          <w:tcPr>
            <w:tcW w:w="1275" w:type="dxa"/>
            <w:tcBorders>
              <w:top w:val="single" w:sz="4" w:space="0" w:color="auto"/>
              <w:left w:val="nil"/>
              <w:bottom w:val="single" w:sz="4" w:space="0" w:color="auto"/>
              <w:right w:val="single" w:sz="4" w:space="0" w:color="auto"/>
            </w:tcBorders>
            <w:vAlign w:val="center"/>
          </w:tcPr>
          <w:p w:rsidR="003B4A07" w:rsidRPr="00DC3EF7" w:rsidRDefault="003B4A07" w:rsidP="007A47A2">
            <w:pPr>
              <w:jc w:val="center"/>
              <w:rPr>
                <w:rFonts w:ascii="Arial" w:hAnsi="Arial" w:cs="Arial"/>
                <w:sz w:val="16"/>
                <w:szCs w:val="16"/>
              </w:rPr>
            </w:pPr>
            <w:r w:rsidRPr="00DC3EF7">
              <w:rPr>
                <w:rFonts w:ascii="Arial" w:hAnsi="Arial" w:cs="Arial"/>
                <w:sz w:val="16"/>
                <w:szCs w:val="16"/>
              </w:rPr>
              <w:t>31.12.2013</w:t>
            </w:r>
          </w:p>
        </w:tc>
        <w:tc>
          <w:tcPr>
            <w:tcW w:w="1276" w:type="dxa"/>
            <w:tcBorders>
              <w:top w:val="single" w:sz="4" w:space="0" w:color="auto"/>
              <w:left w:val="single" w:sz="4" w:space="0" w:color="auto"/>
              <w:bottom w:val="single" w:sz="4" w:space="0" w:color="auto"/>
              <w:right w:val="single" w:sz="4" w:space="0" w:color="auto"/>
            </w:tcBorders>
            <w:vAlign w:val="center"/>
          </w:tcPr>
          <w:p w:rsidR="003B4A07" w:rsidRPr="00DC3EF7" w:rsidRDefault="003B4A07" w:rsidP="007A47A2">
            <w:pPr>
              <w:ind w:right="34"/>
              <w:jc w:val="center"/>
              <w:rPr>
                <w:rFonts w:ascii="Arial" w:hAnsi="Arial" w:cs="Arial"/>
                <w:sz w:val="16"/>
                <w:szCs w:val="16"/>
              </w:rPr>
            </w:pPr>
            <w:r w:rsidRPr="00DC3EF7">
              <w:rPr>
                <w:rFonts w:ascii="Arial" w:hAnsi="Arial" w:cs="Arial"/>
                <w:sz w:val="16"/>
                <w:szCs w:val="16"/>
              </w:rPr>
              <w:t>31.12.2014</w:t>
            </w:r>
          </w:p>
        </w:tc>
      </w:tr>
      <w:tr w:rsidR="003B4A07" w:rsidRPr="00DC3EF7" w:rsidTr="007A47A2">
        <w:trPr>
          <w:trHeight w:val="826"/>
        </w:trPr>
        <w:tc>
          <w:tcPr>
            <w:tcW w:w="7083" w:type="dxa"/>
            <w:tcBorders>
              <w:top w:val="nil"/>
              <w:left w:val="single" w:sz="4" w:space="0" w:color="auto"/>
              <w:bottom w:val="single" w:sz="4" w:space="0" w:color="auto"/>
              <w:right w:val="single" w:sz="4" w:space="0" w:color="auto"/>
            </w:tcBorders>
            <w:vAlign w:val="center"/>
          </w:tcPr>
          <w:p w:rsidR="003B4A07" w:rsidRPr="00DC3EF7" w:rsidRDefault="003B4A07" w:rsidP="007A47A2">
            <w:pPr>
              <w:jc w:val="both"/>
              <w:rPr>
                <w:rFonts w:ascii="Arial" w:eastAsia="Calibri" w:hAnsi="Arial" w:cs="Arial"/>
                <w:bCs/>
                <w:sz w:val="16"/>
                <w:szCs w:val="16"/>
              </w:rPr>
            </w:pPr>
            <w:r w:rsidRPr="00DC3EF7">
              <w:rPr>
                <w:rFonts w:ascii="Arial" w:eastAsia="Calibri" w:hAnsi="Arial" w:cs="Arial"/>
                <w:bCs/>
                <w:sz w:val="16"/>
                <w:szCs w:val="16"/>
              </w:rPr>
              <w:t>Чистый оборотный капитал, тыс. руб.</w:t>
            </w:r>
          </w:p>
          <w:p w:rsidR="003B4A07" w:rsidRPr="00DC3EF7" w:rsidRDefault="003B4A07" w:rsidP="007A47A2">
            <w:pPr>
              <w:jc w:val="both"/>
              <w:rPr>
                <w:rFonts w:ascii="Arial" w:hAnsi="Arial" w:cs="Arial"/>
                <w:sz w:val="16"/>
                <w:szCs w:val="16"/>
              </w:rPr>
            </w:pPr>
            <w:r w:rsidRPr="00DC3EF7">
              <w:rPr>
                <w:rFonts w:ascii="Arial" w:eastAsia="Calibri" w:hAnsi="Arial" w:cs="Arial"/>
                <w:bCs/>
                <w:sz w:val="16"/>
                <w:szCs w:val="16"/>
              </w:rPr>
              <w:t>Оборотные активы - Долгосрочная дебиторская задолженность - Краткосрочные обязательства (не включая Доходы будущих периодов)</w:t>
            </w:r>
          </w:p>
        </w:tc>
        <w:tc>
          <w:tcPr>
            <w:tcW w:w="1275" w:type="dxa"/>
            <w:tcBorders>
              <w:top w:val="single" w:sz="4" w:space="0" w:color="auto"/>
              <w:left w:val="nil"/>
              <w:bottom w:val="single" w:sz="4" w:space="0" w:color="auto"/>
              <w:right w:val="single" w:sz="4" w:space="0" w:color="auto"/>
            </w:tcBorders>
            <w:vAlign w:val="center"/>
          </w:tcPr>
          <w:p w:rsidR="003B4A07" w:rsidRPr="00DC3EF7" w:rsidRDefault="003B4A07" w:rsidP="007A47A2">
            <w:pPr>
              <w:jc w:val="center"/>
              <w:rPr>
                <w:rFonts w:ascii="Arial" w:hAnsi="Arial" w:cs="Arial"/>
                <w:sz w:val="16"/>
                <w:szCs w:val="16"/>
              </w:rPr>
            </w:pPr>
            <w:r w:rsidRPr="00DC3EF7">
              <w:rPr>
                <w:rFonts w:ascii="Arial" w:hAnsi="Arial" w:cs="Arial"/>
                <w:sz w:val="16"/>
                <w:szCs w:val="16"/>
              </w:rPr>
              <w:t>2 268 152</w:t>
            </w:r>
          </w:p>
        </w:tc>
        <w:tc>
          <w:tcPr>
            <w:tcW w:w="1276" w:type="dxa"/>
            <w:tcBorders>
              <w:top w:val="single" w:sz="4" w:space="0" w:color="auto"/>
              <w:left w:val="single" w:sz="4" w:space="0" w:color="auto"/>
              <w:bottom w:val="single" w:sz="4" w:space="0" w:color="auto"/>
              <w:right w:val="single" w:sz="4" w:space="0" w:color="auto"/>
            </w:tcBorders>
            <w:vAlign w:val="center"/>
          </w:tcPr>
          <w:p w:rsidR="003B4A07" w:rsidRPr="00DC3EF7" w:rsidRDefault="003B4A07" w:rsidP="007A47A2">
            <w:pPr>
              <w:jc w:val="center"/>
              <w:rPr>
                <w:rFonts w:ascii="Arial" w:hAnsi="Arial" w:cs="Arial"/>
                <w:sz w:val="16"/>
                <w:szCs w:val="16"/>
              </w:rPr>
            </w:pPr>
            <w:r w:rsidRPr="00DC3EF7">
              <w:rPr>
                <w:rFonts w:ascii="Arial" w:hAnsi="Arial" w:cs="Arial"/>
                <w:sz w:val="16"/>
                <w:szCs w:val="16"/>
              </w:rPr>
              <w:t>2 393 127</w:t>
            </w:r>
          </w:p>
        </w:tc>
      </w:tr>
      <w:tr w:rsidR="003B4A07" w:rsidRPr="00DC3EF7" w:rsidTr="007A47A2">
        <w:trPr>
          <w:trHeight w:val="173"/>
        </w:trPr>
        <w:tc>
          <w:tcPr>
            <w:tcW w:w="7083" w:type="dxa"/>
            <w:tcBorders>
              <w:top w:val="single" w:sz="4" w:space="0" w:color="auto"/>
              <w:left w:val="single" w:sz="4" w:space="0" w:color="auto"/>
              <w:bottom w:val="single" w:sz="4" w:space="0" w:color="auto"/>
              <w:right w:val="single" w:sz="4" w:space="0" w:color="auto"/>
            </w:tcBorders>
            <w:vAlign w:val="center"/>
          </w:tcPr>
          <w:p w:rsidR="003B4A07" w:rsidRPr="00DC3EF7" w:rsidRDefault="003B4A07" w:rsidP="007A47A2">
            <w:pPr>
              <w:jc w:val="both"/>
              <w:rPr>
                <w:rFonts w:ascii="Arial" w:eastAsia="Calibri" w:hAnsi="Arial" w:cs="Arial"/>
                <w:bCs/>
                <w:sz w:val="16"/>
                <w:szCs w:val="16"/>
              </w:rPr>
            </w:pPr>
            <w:r w:rsidRPr="00DC3EF7">
              <w:rPr>
                <w:rFonts w:ascii="Arial" w:eastAsia="Calibri" w:hAnsi="Arial" w:cs="Arial"/>
                <w:bCs/>
                <w:sz w:val="16"/>
                <w:szCs w:val="16"/>
              </w:rPr>
              <w:t>Коэффициент текущей ликвидности</w:t>
            </w:r>
          </w:p>
          <w:p w:rsidR="003B4A07" w:rsidRPr="00DC3EF7" w:rsidRDefault="003B4A07" w:rsidP="007A47A2">
            <w:pPr>
              <w:jc w:val="both"/>
              <w:rPr>
                <w:rFonts w:eastAsia="Calibri"/>
                <w:bCs/>
                <w:sz w:val="16"/>
                <w:szCs w:val="16"/>
              </w:rPr>
            </w:pPr>
            <w:r w:rsidRPr="00DC3EF7">
              <w:rPr>
                <w:rFonts w:ascii="Arial" w:eastAsia="Calibri" w:hAnsi="Arial" w:cs="Arial"/>
                <w:bCs/>
                <w:sz w:val="16"/>
                <w:szCs w:val="16"/>
              </w:rPr>
              <w:t>(Оборотные активы - Долгосрочная дебиторская задолженность) / Краткосрочные обязательства (не включая Доходы будущих периодов)</w:t>
            </w:r>
          </w:p>
        </w:tc>
        <w:tc>
          <w:tcPr>
            <w:tcW w:w="1275" w:type="dxa"/>
            <w:tcBorders>
              <w:top w:val="single" w:sz="4" w:space="0" w:color="auto"/>
              <w:left w:val="single" w:sz="4" w:space="0" w:color="auto"/>
              <w:bottom w:val="single" w:sz="4" w:space="0" w:color="auto"/>
              <w:right w:val="single" w:sz="4" w:space="0" w:color="auto"/>
            </w:tcBorders>
            <w:vAlign w:val="center"/>
          </w:tcPr>
          <w:p w:rsidR="003B4A07" w:rsidRPr="00DC3EF7" w:rsidRDefault="003B4A07" w:rsidP="007A47A2">
            <w:pPr>
              <w:jc w:val="center"/>
              <w:rPr>
                <w:rFonts w:ascii="Arial" w:hAnsi="Arial" w:cs="Arial"/>
                <w:sz w:val="16"/>
                <w:szCs w:val="16"/>
              </w:rPr>
            </w:pPr>
            <w:r w:rsidRPr="00DC3EF7">
              <w:rPr>
                <w:rFonts w:ascii="Arial" w:hAnsi="Arial" w:cs="Arial"/>
                <w:sz w:val="16"/>
                <w:szCs w:val="16"/>
              </w:rPr>
              <w:t>1.08</w:t>
            </w:r>
          </w:p>
        </w:tc>
        <w:tc>
          <w:tcPr>
            <w:tcW w:w="1276" w:type="dxa"/>
            <w:tcBorders>
              <w:top w:val="single" w:sz="4" w:space="0" w:color="auto"/>
              <w:left w:val="single" w:sz="4" w:space="0" w:color="auto"/>
              <w:bottom w:val="single" w:sz="4" w:space="0" w:color="auto"/>
              <w:right w:val="single" w:sz="4" w:space="0" w:color="auto"/>
            </w:tcBorders>
            <w:vAlign w:val="center"/>
          </w:tcPr>
          <w:p w:rsidR="003B4A07" w:rsidRPr="00DC3EF7" w:rsidRDefault="003B4A07" w:rsidP="007A47A2">
            <w:pPr>
              <w:jc w:val="center"/>
              <w:rPr>
                <w:rFonts w:ascii="Arial" w:hAnsi="Arial" w:cs="Arial"/>
                <w:sz w:val="16"/>
                <w:szCs w:val="16"/>
              </w:rPr>
            </w:pPr>
            <w:r w:rsidRPr="00DC3EF7">
              <w:rPr>
                <w:rFonts w:ascii="Arial" w:hAnsi="Arial" w:cs="Arial"/>
                <w:sz w:val="16"/>
                <w:szCs w:val="16"/>
              </w:rPr>
              <w:t>1.07</w:t>
            </w:r>
          </w:p>
        </w:tc>
      </w:tr>
      <w:tr w:rsidR="003B4A07" w:rsidRPr="00DC3EF7" w:rsidTr="007A47A2">
        <w:trPr>
          <w:trHeight w:val="205"/>
        </w:trPr>
        <w:tc>
          <w:tcPr>
            <w:tcW w:w="7083" w:type="dxa"/>
            <w:tcBorders>
              <w:top w:val="single" w:sz="4" w:space="0" w:color="auto"/>
              <w:left w:val="single" w:sz="4" w:space="0" w:color="auto"/>
              <w:bottom w:val="single" w:sz="4" w:space="0" w:color="auto"/>
              <w:right w:val="single" w:sz="4" w:space="0" w:color="auto"/>
            </w:tcBorders>
            <w:vAlign w:val="center"/>
          </w:tcPr>
          <w:p w:rsidR="003B4A07" w:rsidRPr="00DC3EF7" w:rsidRDefault="003B4A07" w:rsidP="007A47A2">
            <w:pPr>
              <w:jc w:val="both"/>
              <w:rPr>
                <w:rFonts w:ascii="Arial" w:eastAsia="Calibri" w:hAnsi="Arial" w:cs="Arial"/>
                <w:bCs/>
                <w:sz w:val="16"/>
                <w:szCs w:val="16"/>
              </w:rPr>
            </w:pPr>
            <w:r w:rsidRPr="00DC3EF7">
              <w:rPr>
                <w:rFonts w:ascii="Arial" w:eastAsia="Calibri" w:hAnsi="Arial" w:cs="Arial"/>
                <w:bCs/>
                <w:sz w:val="16"/>
                <w:szCs w:val="16"/>
              </w:rPr>
              <w:t>Коэффициент быстрой ликвидности</w:t>
            </w:r>
          </w:p>
          <w:p w:rsidR="003B4A07" w:rsidRPr="00DC3EF7" w:rsidRDefault="003B4A07" w:rsidP="007A47A2">
            <w:pPr>
              <w:jc w:val="both"/>
              <w:rPr>
                <w:rFonts w:eastAsia="Calibri"/>
                <w:bCs/>
                <w:sz w:val="16"/>
                <w:szCs w:val="16"/>
              </w:rPr>
            </w:pPr>
            <w:r w:rsidRPr="00DC3EF7">
              <w:rPr>
                <w:rFonts w:ascii="Arial" w:eastAsia="Calibri" w:hAnsi="Arial" w:cs="Arial"/>
                <w:bCs/>
                <w:sz w:val="16"/>
                <w:szCs w:val="16"/>
              </w:rPr>
              <w:t>(Оборотные активы - Запасы - Налог на добавленную стоимость по приобретенным ценностям - Долгосрочная дебиторская задолженность) / Краткосрочные обязательства (не включая Доходы будущих периодов)</w:t>
            </w:r>
          </w:p>
        </w:tc>
        <w:tc>
          <w:tcPr>
            <w:tcW w:w="1275" w:type="dxa"/>
            <w:tcBorders>
              <w:top w:val="single" w:sz="4" w:space="0" w:color="auto"/>
              <w:left w:val="nil"/>
              <w:bottom w:val="single" w:sz="4" w:space="0" w:color="auto"/>
              <w:right w:val="single" w:sz="4" w:space="0" w:color="auto"/>
            </w:tcBorders>
            <w:vAlign w:val="center"/>
          </w:tcPr>
          <w:p w:rsidR="003B4A07" w:rsidRPr="00DC3EF7" w:rsidRDefault="003B4A07" w:rsidP="007A47A2">
            <w:pPr>
              <w:jc w:val="center"/>
              <w:rPr>
                <w:rFonts w:ascii="Arial" w:hAnsi="Arial" w:cs="Arial"/>
                <w:sz w:val="16"/>
                <w:szCs w:val="16"/>
              </w:rPr>
            </w:pPr>
            <w:r w:rsidRPr="00DC3EF7">
              <w:rPr>
                <w:rFonts w:ascii="Arial" w:hAnsi="Arial" w:cs="Arial"/>
                <w:sz w:val="16"/>
                <w:szCs w:val="16"/>
              </w:rPr>
              <w:t>0.85</w:t>
            </w:r>
          </w:p>
        </w:tc>
        <w:tc>
          <w:tcPr>
            <w:tcW w:w="1276" w:type="dxa"/>
            <w:tcBorders>
              <w:top w:val="single" w:sz="4" w:space="0" w:color="auto"/>
              <w:left w:val="single" w:sz="4" w:space="0" w:color="auto"/>
              <w:bottom w:val="single" w:sz="4" w:space="0" w:color="auto"/>
              <w:right w:val="single" w:sz="4" w:space="0" w:color="auto"/>
            </w:tcBorders>
            <w:vAlign w:val="center"/>
          </w:tcPr>
          <w:p w:rsidR="003B4A07" w:rsidRPr="00DC3EF7" w:rsidRDefault="003B4A07" w:rsidP="007A47A2">
            <w:pPr>
              <w:jc w:val="center"/>
              <w:rPr>
                <w:rFonts w:ascii="Arial" w:hAnsi="Arial" w:cs="Arial"/>
                <w:sz w:val="16"/>
                <w:szCs w:val="16"/>
              </w:rPr>
            </w:pPr>
            <w:r w:rsidRPr="00DC3EF7">
              <w:rPr>
                <w:rFonts w:ascii="Arial" w:hAnsi="Arial" w:cs="Arial"/>
                <w:sz w:val="16"/>
                <w:szCs w:val="16"/>
              </w:rPr>
              <w:t>0.78</w:t>
            </w:r>
          </w:p>
        </w:tc>
      </w:tr>
    </w:tbl>
    <w:p w:rsidR="003B4A07" w:rsidRDefault="003B4A07">
      <w:pPr>
        <w:pStyle w:val="af"/>
      </w:pPr>
    </w:p>
  </w:footnote>
  <w:footnote w:id="6">
    <w:p w:rsidR="003B4A07" w:rsidRDefault="003B4A07">
      <w:pPr>
        <w:pStyle w:val="af"/>
      </w:pPr>
      <w:r>
        <w:rPr>
          <w:rStyle w:val="af1"/>
        </w:rPr>
        <w:footnoteRef/>
      </w:r>
      <w:r>
        <w:t xml:space="preserve"> </w:t>
      </w:r>
      <w:r w:rsidRPr="00DC3EF7">
        <w:rPr>
          <w:rFonts w:ascii="Arial" w:eastAsia="Times New Roman" w:hAnsi="Arial" w:cs="Arial"/>
          <w:sz w:val="16"/>
          <w:szCs w:val="16"/>
        </w:rPr>
        <w:t>Тоже самое</w:t>
      </w:r>
    </w:p>
  </w:footnote>
  <w:footnote w:id="7">
    <w:p w:rsidR="003B4A07" w:rsidRDefault="003B4A07">
      <w:pPr>
        <w:pStyle w:val="af"/>
      </w:pPr>
      <w:r>
        <w:rPr>
          <w:rStyle w:val="af1"/>
        </w:rPr>
        <w:footnoteRef/>
      </w:r>
      <w:r>
        <w:t xml:space="preserve"> </w:t>
      </w:r>
      <w:r w:rsidRPr="00DC3EF7">
        <w:rPr>
          <w:rFonts w:ascii="Arial" w:eastAsia="Times New Roman" w:hAnsi="Arial" w:cs="Arial"/>
          <w:sz w:val="16"/>
          <w:szCs w:val="16"/>
        </w:rPr>
        <w:t>Тоже самое</w:t>
      </w:r>
    </w:p>
  </w:footnote>
  <w:footnote w:id="8">
    <w:p w:rsidR="003B4A07" w:rsidRPr="00AF22E8" w:rsidRDefault="003B4A07" w:rsidP="00713E6F">
      <w:pPr>
        <w:pStyle w:val="Default"/>
        <w:ind w:firstLine="567"/>
        <w:jc w:val="both"/>
        <w:rPr>
          <w:rFonts w:ascii="Arial" w:hAnsi="Arial" w:cs="Arial"/>
          <w:sz w:val="16"/>
          <w:szCs w:val="16"/>
        </w:rPr>
      </w:pPr>
      <w:r>
        <w:rPr>
          <w:rStyle w:val="af1"/>
        </w:rPr>
        <w:footnoteRef/>
      </w:r>
      <w:r>
        <w:t xml:space="preserve"> </w:t>
      </w:r>
      <w:r w:rsidRPr="00AF22E8">
        <w:rPr>
          <w:rFonts w:ascii="Arial" w:hAnsi="Arial" w:cs="Arial"/>
          <w:sz w:val="16"/>
          <w:szCs w:val="16"/>
        </w:rPr>
        <w:t xml:space="preserve">Статьей 312 Налогового кодекса РФ предусмотрено представление налоговому агенту подтверждения, заверенного компетентным органом иностранного государства. Порядок оформления официальных документов, исходящих от компетентных органов иностранных государств, содержится в Гаагской конвенции от 05.10.1961, являющейся в силу ст. 15 Конституции Российской Федерации составной частью правовой системы Российской Федерации. </w:t>
      </w:r>
    </w:p>
    <w:p w:rsidR="003B4A07" w:rsidRPr="00AF22E8" w:rsidRDefault="003B4A07" w:rsidP="00713E6F">
      <w:pPr>
        <w:pStyle w:val="Default"/>
        <w:ind w:firstLine="567"/>
        <w:jc w:val="both"/>
        <w:rPr>
          <w:rFonts w:ascii="Arial" w:hAnsi="Arial" w:cs="Arial"/>
          <w:sz w:val="16"/>
          <w:szCs w:val="16"/>
        </w:rPr>
      </w:pPr>
      <w:r w:rsidRPr="00AF22E8">
        <w:rPr>
          <w:rFonts w:ascii="Arial" w:hAnsi="Arial" w:cs="Arial"/>
          <w:iCs/>
          <w:sz w:val="16"/>
          <w:szCs w:val="16"/>
        </w:rPr>
        <w:t xml:space="preserve">Согласно ст. 1 Конвенции Конвенция распространяется на официальные документы, которые были совершены на территории одного из договаривающихся государств и должны быть представлены на территории другого договаривающегося государства. </w:t>
      </w:r>
    </w:p>
    <w:p w:rsidR="003B4A07" w:rsidRPr="00AF22E8" w:rsidRDefault="003B4A07" w:rsidP="00713E6F">
      <w:pPr>
        <w:pStyle w:val="Default"/>
        <w:ind w:firstLine="567"/>
        <w:jc w:val="both"/>
        <w:rPr>
          <w:rFonts w:ascii="Arial" w:hAnsi="Arial" w:cs="Arial"/>
          <w:sz w:val="16"/>
          <w:szCs w:val="16"/>
        </w:rPr>
      </w:pPr>
      <w:r w:rsidRPr="00AF22E8">
        <w:rPr>
          <w:rFonts w:ascii="Arial" w:hAnsi="Arial" w:cs="Arial"/>
          <w:iCs/>
          <w:sz w:val="16"/>
          <w:szCs w:val="16"/>
        </w:rPr>
        <w:t xml:space="preserve">В силу ст. 3 Конвенции единственной формальностью, соблюдение которой может быть потребовано для удостоверения подлинности подписи, качества, в котором выступало лицо, подписавшее документ, и в надлежащем случае подлинности печати или штампа, которым скреплен этот документ, является проставление предусмотренного ст. 4 Конвенции апостиля компетентным органом государства, в котором этот документ был совершен. </w:t>
      </w:r>
    </w:p>
    <w:p w:rsidR="003B4A07" w:rsidRPr="00AF22E8" w:rsidRDefault="003B4A07" w:rsidP="00713E6F">
      <w:pPr>
        <w:pStyle w:val="Default"/>
        <w:ind w:firstLine="567"/>
        <w:jc w:val="both"/>
        <w:rPr>
          <w:rFonts w:ascii="Arial" w:hAnsi="Arial" w:cs="Arial"/>
          <w:sz w:val="16"/>
          <w:szCs w:val="16"/>
        </w:rPr>
      </w:pPr>
      <w:r w:rsidRPr="00AF22E8">
        <w:rPr>
          <w:rFonts w:ascii="Arial" w:hAnsi="Arial" w:cs="Arial"/>
          <w:iCs/>
          <w:sz w:val="16"/>
          <w:szCs w:val="16"/>
        </w:rPr>
        <w:t xml:space="preserve">Поскольку Конвенция распространяется на официальные документы, в том числе исходящие от органа или должностного лица, подчиняющегося юрисдикции государства, включая документы, исходящие из прокуратуры, секретаря суда или судебного исполнителя, такие документы должны соответствовать требованиям Конвенции, то есть содержать апостиль. </w:t>
      </w:r>
    </w:p>
    <w:p w:rsidR="003B4A07" w:rsidRPr="00AF22E8" w:rsidRDefault="003B4A07" w:rsidP="00713E6F">
      <w:pPr>
        <w:pStyle w:val="Default"/>
        <w:ind w:firstLine="567"/>
        <w:jc w:val="both"/>
        <w:rPr>
          <w:rFonts w:ascii="Arial" w:hAnsi="Arial" w:cs="Arial"/>
          <w:color w:val="auto"/>
          <w:sz w:val="16"/>
          <w:szCs w:val="16"/>
        </w:rPr>
      </w:pPr>
      <w:r w:rsidRPr="00AF22E8">
        <w:rPr>
          <w:rFonts w:ascii="Arial" w:hAnsi="Arial" w:cs="Arial"/>
          <w:iCs/>
          <w:sz w:val="16"/>
          <w:szCs w:val="16"/>
        </w:rPr>
        <w:t xml:space="preserve">Таким образом, для применения льготного режима налогообложения иностранное лицо должно представить подтверждение, выданное компетентным органом государства и содержащее апостиль. </w:t>
      </w:r>
    </w:p>
    <w:p w:rsidR="003B4A07" w:rsidRDefault="003B4A07" w:rsidP="00713E6F">
      <w:pPr>
        <w:pStyle w:val="af"/>
      </w:pPr>
    </w:p>
  </w:footnote>
  <w:footnote w:id="9">
    <w:p w:rsidR="003B4A07" w:rsidRPr="008A56CB" w:rsidRDefault="003B4A07" w:rsidP="00A14EC6">
      <w:pPr>
        <w:pStyle w:val="Default"/>
        <w:ind w:firstLine="567"/>
        <w:jc w:val="both"/>
        <w:rPr>
          <w:rFonts w:ascii="Arial" w:hAnsi="Arial" w:cs="Arial"/>
          <w:sz w:val="16"/>
          <w:szCs w:val="16"/>
        </w:rPr>
      </w:pPr>
      <w:r>
        <w:rPr>
          <w:rStyle w:val="af1"/>
        </w:rPr>
        <w:footnoteRef/>
      </w:r>
      <w:r>
        <w:t xml:space="preserve"> </w:t>
      </w:r>
      <w:r w:rsidRPr="008A56CB">
        <w:rPr>
          <w:rFonts w:ascii="Arial" w:hAnsi="Arial" w:cs="Arial"/>
          <w:sz w:val="16"/>
          <w:szCs w:val="16"/>
        </w:rPr>
        <w:t xml:space="preserve">Статьей 312 Налогового кодекса РФ предусмотрено представление налоговому агенту подтверждения, заверенного компетентным органом иностранного государства. Порядок оформления официальных документов, исходящих от компетентных органов иностранных государств, содержится в Гаагской конвенции от 05.10.1961, являющейся в силу ст. 15 Конституции Российской Федерации составной частью правовой системы Российской Федерации. </w:t>
      </w:r>
    </w:p>
    <w:p w:rsidR="003B4A07" w:rsidRPr="008A56CB" w:rsidRDefault="003B4A07" w:rsidP="00A14EC6">
      <w:pPr>
        <w:pStyle w:val="Default"/>
        <w:ind w:firstLine="567"/>
        <w:jc w:val="both"/>
        <w:rPr>
          <w:rFonts w:ascii="Arial" w:hAnsi="Arial" w:cs="Arial"/>
          <w:sz w:val="16"/>
          <w:szCs w:val="16"/>
        </w:rPr>
      </w:pPr>
      <w:r w:rsidRPr="008A56CB">
        <w:rPr>
          <w:rFonts w:ascii="Arial" w:hAnsi="Arial" w:cs="Arial"/>
          <w:iCs/>
          <w:sz w:val="16"/>
          <w:szCs w:val="16"/>
        </w:rPr>
        <w:t xml:space="preserve">Согласно ст. 1 Конвенции Конвенция распространяется на официальные документы, которые были совершены на территории одного из договаривающихся государств и должны быть представлены на территории другого договаривающегося государства. </w:t>
      </w:r>
    </w:p>
    <w:p w:rsidR="003B4A07" w:rsidRPr="00A14EC6" w:rsidRDefault="003B4A07" w:rsidP="00A14EC6">
      <w:pPr>
        <w:pStyle w:val="Default"/>
        <w:ind w:firstLine="567"/>
        <w:jc w:val="both"/>
        <w:rPr>
          <w:rFonts w:ascii="Arial" w:hAnsi="Arial" w:cs="Arial"/>
          <w:sz w:val="16"/>
          <w:szCs w:val="16"/>
        </w:rPr>
      </w:pPr>
      <w:r w:rsidRPr="00A14EC6">
        <w:rPr>
          <w:rFonts w:ascii="Arial" w:hAnsi="Arial" w:cs="Arial"/>
          <w:iCs/>
          <w:sz w:val="16"/>
          <w:szCs w:val="16"/>
        </w:rPr>
        <w:t xml:space="preserve">В силу ст. 3 Конвенции единственной формальностью, соблюдение которой может быть потребовано для удостоверения подлинности подписи, качества, в котором выступало лицо, подписавшее документ, и в надлежащем случае подлинности печати или штампа, которым скреплен этот документ, является проставление предусмотренного ст. 4 Конвенции апостиля компетентным органом государства, в котором этот документ был совершен. </w:t>
      </w:r>
    </w:p>
    <w:p w:rsidR="003B4A07" w:rsidRPr="00A14EC6" w:rsidRDefault="003B4A07" w:rsidP="00A14EC6">
      <w:pPr>
        <w:pStyle w:val="Default"/>
        <w:ind w:firstLine="567"/>
        <w:jc w:val="both"/>
        <w:rPr>
          <w:rFonts w:ascii="Arial" w:hAnsi="Arial" w:cs="Arial"/>
          <w:sz w:val="16"/>
          <w:szCs w:val="16"/>
        </w:rPr>
      </w:pPr>
      <w:r w:rsidRPr="00A14EC6">
        <w:rPr>
          <w:rFonts w:ascii="Arial" w:hAnsi="Arial" w:cs="Arial"/>
          <w:iCs/>
          <w:sz w:val="16"/>
          <w:szCs w:val="16"/>
        </w:rPr>
        <w:t xml:space="preserve">Поскольку Конвенция распространяется на официальные документы, в том числе исходящие от органа или должностного лица, подчиняющегося юрисдикции государства, включая документы, исходящие из прокуратуры, секретаря суда или судебного исполнителя, такие документы должны соответствовать требованиям Конвенции, то есть содержать апостиль. </w:t>
      </w:r>
    </w:p>
    <w:p w:rsidR="003B4A07" w:rsidRPr="00A14EC6" w:rsidRDefault="003B4A07" w:rsidP="00A14EC6">
      <w:pPr>
        <w:pStyle w:val="af"/>
        <w:rPr>
          <w:rFonts w:ascii="Arial" w:hAnsi="Arial" w:cs="Arial"/>
        </w:rPr>
      </w:pPr>
    </w:p>
  </w:footnote>
  <w:footnote w:id="10">
    <w:p w:rsidR="003B4A07" w:rsidRDefault="003B4A07" w:rsidP="00C60EC3">
      <w:pPr>
        <w:pStyle w:val="af"/>
        <w:jc w:val="both"/>
      </w:pPr>
      <w:r>
        <w:rPr>
          <w:rStyle w:val="af1"/>
        </w:rPr>
        <w:footnoteRef/>
      </w:r>
      <w:r>
        <w:t xml:space="preserve"> </w:t>
      </w:r>
      <w:r w:rsidRPr="00A936D6">
        <w:rPr>
          <w:rFonts w:ascii="Arial" w:eastAsiaTheme="minorHAnsi" w:hAnsi="Arial" w:cs="Arial"/>
          <w:sz w:val="16"/>
          <w:szCs w:val="16"/>
          <w:lang w:eastAsia="en-US"/>
        </w:rPr>
        <w:t xml:space="preserve">Информация в таблице представлена на основании данных, представленных на официальном сайте ЗАО «ФБ ММВБ» по адресу: </w:t>
      </w:r>
      <w:r w:rsidRPr="00A936D6">
        <w:rPr>
          <w:rFonts w:ascii="Arial" w:hAnsi="Arial" w:cs="Arial"/>
          <w:sz w:val="16"/>
          <w:szCs w:val="16"/>
        </w:rPr>
        <w:t>http://www.micex.ru/marketdata/quotes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B3B80"/>
    <w:multiLevelType w:val="hybridMultilevel"/>
    <w:tmpl w:val="9AAC5D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E796745"/>
    <w:multiLevelType w:val="hybridMultilevel"/>
    <w:tmpl w:val="1C22B7A8"/>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2">
    <w:nsid w:val="0F654F35"/>
    <w:multiLevelType w:val="hybridMultilevel"/>
    <w:tmpl w:val="8D20AE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331FC2"/>
    <w:multiLevelType w:val="hybridMultilevel"/>
    <w:tmpl w:val="389053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B96F94"/>
    <w:multiLevelType w:val="hybridMultilevel"/>
    <w:tmpl w:val="C2BC5C8A"/>
    <w:lvl w:ilvl="0" w:tplc="FFFFFFFF">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60A3B76"/>
    <w:multiLevelType w:val="hybridMultilevel"/>
    <w:tmpl w:val="EFBCA95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161427F7"/>
    <w:multiLevelType w:val="multilevel"/>
    <w:tmpl w:val="C7C8CE34"/>
    <w:lvl w:ilvl="0">
      <w:start w:val="1"/>
      <w:numFmt w:val="bullet"/>
      <w:lvlText w:val="·"/>
      <w:lvlJc w:val="left"/>
      <w:rPr>
        <w:rFonts w:ascii="Times New Roman" w:hAnsi="Times New Roman"/>
        <w:sz w:val="24"/>
      </w:rPr>
    </w:lvl>
    <w:lvl w:ilvl="1">
      <w:start w:val="1"/>
      <w:numFmt w:val="bullet"/>
      <w:lvlText w:val="o"/>
      <w:lvlJc w:val="left"/>
      <w:rPr>
        <w:rFonts w:ascii="Courier New" w:hAnsi="Courier New"/>
        <w:sz w:val="24"/>
      </w:rPr>
    </w:lvl>
    <w:lvl w:ilvl="2">
      <w:start w:val="1"/>
      <w:numFmt w:val="bullet"/>
      <w:lvlText w:val="§"/>
      <w:lvlJc w:val="left"/>
      <w:rPr>
        <w:rFonts w:ascii="Times New Roman" w:hAnsi="Times New Roman"/>
        <w:sz w:val="24"/>
      </w:rPr>
    </w:lvl>
    <w:lvl w:ilvl="3">
      <w:start w:val="1"/>
      <w:numFmt w:val="bullet"/>
      <w:lvlText w:val="·"/>
      <w:lvlJc w:val="left"/>
      <w:rPr>
        <w:rFonts w:ascii="Times New Roman" w:hAnsi="Times New Roman"/>
        <w:sz w:val="24"/>
      </w:rPr>
    </w:lvl>
    <w:lvl w:ilvl="4">
      <w:start w:val="1"/>
      <w:numFmt w:val="bullet"/>
      <w:lvlText w:val="o"/>
      <w:lvlJc w:val="left"/>
      <w:rPr>
        <w:rFonts w:ascii="Courier New" w:hAnsi="Courier New"/>
        <w:sz w:val="24"/>
      </w:rPr>
    </w:lvl>
    <w:lvl w:ilvl="5">
      <w:start w:val="1"/>
      <w:numFmt w:val="bullet"/>
      <w:lvlText w:val="§"/>
      <w:lvlJc w:val="left"/>
      <w:rPr>
        <w:rFonts w:ascii="Times New Roman" w:hAnsi="Times New Roman"/>
        <w:sz w:val="24"/>
      </w:rPr>
    </w:lvl>
    <w:lvl w:ilvl="6">
      <w:start w:val="1"/>
      <w:numFmt w:val="bullet"/>
      <w:lvlText w:val="·"/>
      <w:lvlJc w:val="left"/>
      <w:rPr>
        <w:rFonts w:ascii="Times New Roman" w:hAnsi="Times New Roman"/>
        <w:sz w:val="24"/>
      </w:rPr>
    </w:lvl>
    <w:lvl w:ilvl="7">
      <w:start w:val="1"/>
      <w:numFmt w:val="bullet"/>
      <w:lvlText w:val="o"/>
      <w:lvlJc w:val="left"/>
      <w:rPr>
        <w:rFonts w:ascii="Courier New" w:hAnsi="Courier New"/>
        <w:sz w:val="24"/>
      </w:rPr>
    </w:lvl>
    <w:lvl w:ilvl="8">
      <w:start w:val="1"/>
      <w:numFmt w:val="bullet"/>
      <w:lvlText w:val="§"/>
      <w:lvlJc w:val="left"/>
      <w:rPr>
        <w:rFonts w:ascii="Times New Roman" w:hAnsi="Times New Roman"/>
        <w:sz w:val="24"/>
      </w:rPr>
    </w:lvl>
  </w:abstractNum>
  <w:abstractNum w:abstractNumId="7">
    <w:nsid w:val="18036DBF"/>
    <w:multiLevelType w:val="hybridMultilevel"/>
    <w:tmpl w:val="24821582"/>
    <w:lvl w:ilvl="0" w:tplc="DF7647A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92900E6"/>
    <w:multiLevelType w:val="hybridMultilevel"/>
    <w:tmpl w:val="34BC88B4"/>
    <w:lvl w:ilvl="0" w:tplc="FFFFFFFF">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9D06EC7"/>
    <w:multiLevelType w:val="hybridMultilevel"/>
    <w:tmpl w:val="60B689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BF07890"/>
    <w:multiLevelType w:val="hybridMultilevel"/>
    <w:tmpl w:val="197C028C"/>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nsid w:val="20D37B04"/>
    <w:multiLevelType w:val="hybridMultilevel"/>
    <w:tmpl w:val="43F8182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2">
    <w:nsid w:val="20D82D37"/>
    <w:multiLevelType w:val="hybridMultilevel"/>
    <w:tmpl w:val="AC2808A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25B31B0"/>
    <w:multiLevelType w:val="hybridMultilevel"/>
    <w:tmpl w:val="C67C0B2E"/>
    <w:lvl w:ilvl="0" w:tplc="FFFFFFFF">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5783484"/>
    <w:multiLevelType w:val="hybridMultilevel"/>
    <w:tmpl w:val="BFCC68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E21593E"/>
    <w:multiLevelType w:val="hybridMultilevel"/>
    <w:tmpl w:val="ECC02090"/>
    <w:lvl w:ilvl="0" w:tplc="FFFFFFFF">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F686B8C"/>
    <w:multiLevelType w:val="hybridMultilevel"/>
    <w:tmpl w:val="3CBA113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33092DD8"/>
    <w:multiLevelType w:val="multilevel"/>
    <w:tmpl w:val="DEF62F5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nsid w:val="389E563F"/>
    <w:multiLevelType w:val="hybridMultilevel"/>
    <w:tmpl w:val="E33888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43020DD"/>
    <w:multiLevelType w:val="hybridMultilevel"/>
    <w:tmpl w:val="04D6F2B6"/>
    <w:lvl w:ilvl="0" w:tplc="FFFFFFFF">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444B2DC6"/>
    <w:multiLevelType w:val="hybridMultilevel"/>
    <w:tmpl w:val="6BF63B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8331FC0"/>
    <w:multiLevelType w:val="hybridMultilevel"/>
    <w:tmpl w:val="66683A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8F7631F"/>
    <w:multiLevelType w:val="hybridMultilevel"/>
    <w:tmpl w:val="E86072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C6C1E69"/>
    <w:multiLevelType w:val="multilevel"/>
    <w:tmpl w:val="AD004888"/>
    <w:lvl w:ilvl="0">
      <w:numFmt w:val="bullet"/>
      <w:lvlText w:val="·"/>
      <w:lvlJc w:val="left"/>
      <w:rPr>
        <w:rFonts w:ascii="Times New Roman" w:hAnsi="Times New Roman"/>
        <w:sz w:val="24"/>
      </w:rPr>
    </w:lvl>
    <w:lvl w:ilvl="1">
      <w:numFmt w:val="bullet"/>
      <w:lvlText w:val="o"/>
      <w:lvlJc w:val="left"/>
      <w:rPr>
        <w:rFonts w:ascii="Courier New" w:hAnsi="Courier New"/>
        <w:sz w:val="24"/>
      </w:rPr>
    </w:lvl>
    <w:lvl w:ilvl="2">
      <w:numFmt w:val="bullet"/>
      <w:lvlText w:val="§"/>
      <w:lvlJc w:val="left"/>
      <w:rPr>
        <w:rFonts w:ascii="Times New Roman" w:hAnsi="Times New Roman"/>
        <w:sz w:val="24"/>
      </w:rPr>
    </w:lvl>
    <w:lvl w:ilvl="3">
      <w:numFmt w:val="bullet"/>
      <w:lvlText w:val="·"/>
      <w:lvlJc w:val="left"/>
      <w:rPr>
        <w:rFonts w:ascii="Times New Roman" w:hAnsi="Times New Roman"/>
        <w:sz w:val="24"/>
      </w:rPr>
    </w:lvl>
    <w:lvl w:ilvl="4">
      <w:numFmt w:val="bullet"/>
      <w:lvlText w:val="o"/>
      <w:lvlJc w:val="left"/>
      <w:rPr>
        <w:rFonts w:ascii="Courier New" w:hAnsi="Courier New"/>
        <w:sz w:val="24"/>
      </w:rPr>
    </w:lvl>
    <w:lvl w:ilvl="5">
      <w:numFmt w:val="bullet"/>
      <w:lvlText w:val="§"/>
      <w:lvlJc w:val="left"/>
      <w:rPr>
        <w:rFonts w:ascii="Times New Roman" w:hAnsi="Times New Roman"/>
        <w:sz w:val="24"/>
      </w:rPr>
    </w:lvl>
    <w:lvl w:ilvl="6">
      <w:numFmt w:val="bullet"/>
      <w:lvlText w:val="·"/>
      <w:lvlJc w:val="left"/>
      <w:rPr>
        <w:rFonts w:ascii="Times New Roman" w:hAnsi="Times New Roman"/>
        <w:sz w:val="24"/>
      </w:rPr>
    </w:lvl>
    <w:lvl w:ilvl="7">
      <w:numFmt w:val="bullet"/>
      <w:lvlText w:val="o"/>
      <w:lvlJc w:val="left"/>
      <w:rPr>
        <w:rFonts w:ascii="Courier New" w:hAnsi="Courier New"/>
        <w:sz w:val="24"/>
      </w:rPr>
    </w:lvl>
    <w:lvl w:ilvl="8">
      <w:numFmt w:val="bullet"/>
      <w:lvlText w:val="§"/>
      <w:lvlJc w:val="left"/>
      <w:rPr>
        <w:rFonts w:ascii="Times New Roman" w:hAnsi="Times New Roman"/>
        <w:sz w:val="24"/>
      </w:rPr>
    </w:lvl>
  </w:abstractNum>
  <w:abstractNum w:abstractNumId="24">
    <w:nsid w:val="50727022"/>
    <w:multiLevelType w:val="hybridMultilevel"/>
    <w:tmpl w:val="A5589C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5B8014B8"/>
    <w:multiLevelType w:val="hybridMultilevel"/>
    <w:tmpl w:val="F91AFA38"/>
    <w:lvl w:ilvl="0" w:tplc="DF7647A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D107B08"/>
    <w:multiLevelType w:val="multilevel"/>
    <w:tmpl w:val="5AB2FAFE"/>
    <w:lvl w:ilvl="0">
      <w:numFmt w:val="bullet"/>
      <w:lvlText w:val=""/>
      <w:lvlJc w:val="left"/>
      <w:pPr>
        <w:ind w:left="1077" w:hanging="360"/>
      </w:pPr>
      <w:rPr>
        <w:rFonts w:ascii="Symbol" w:hAnsi="Symbol"/>
      </w:rPr>
    </w:lvl>
    <w:lvl w:ilvl="1">
      <w:numFmt w:val="bullet"/>
      <w:lvlText w:val="o"/>
      <w:lvlJc w:val="left"/>
      <w:pPr>
        <w:ind w:left="1797" w:hanging="360"/>
      </w:pPr>
      <w:rPr>
        <w:rFonts w:ascii="Courier New" w:hAnsi="Courier New" w:cs="Courier New"/>
      </w:rPr>
    </w:lvl>
    <w:lvl w:ilvl="2">
      <w:numFmt w:val="bullet"/>
      <w:lvlText w:val=""/>
      <w:lvlJc w:val="left"/>
      <w:pPr>
        <w:ind w:left="2517" w:hanging="360"/>
      </w:pPr>
      <w:rPr>
        <w:rFonts w:ascii="Wingdings" w:hAnsi="Wingdings"/>
      </w:rPr>
    </w:lvl>
    <w:lvl w:ilvl="3">
      <w:numFmt w:val="bullet"/>
      <w:lvlText w:val=""/>
      <w:lvlJc w:val="left"/>
      <w:pPr>
        <w:ind w:left="3237" w:hanging="360"/>
      </w:pPr>
      <w:rPr>
        <w:rFonts w:ascii="Symbol" w:hAnsi="Symbol"/>
      </w:rPr>
    </w:lvl>
    <w:lvl w:ilvl="4">
      <w:numFmt w:val="bullet"/>
      <w:lvlText w:val="o"/>
      <w:lvlJc w:val="left"/>
      <w:pPr>
        <w:ind w:left="3957" w:hanging="360"/>
      </w:pPr>
      <w:rPr>
        <w:rFonts w:ascii="Courier New" w:hAnsi="Courier New" w:cs="Courier New"/>
      </w:rPr>
    </w:lvl>
    <w:lvl w:ilvl="5">
      <w:numFmt w:val="bullet"/>
      <w:lvlText w:val=""/>
      <w:lvlJc w:val="left"/>
      <w:pPr>
        <w:ind w:left="4677" w:hanging="360"/>
      </w:pPr>
      <w:rPr>
        <w:rFonts w:ascii="Wingdings" w:hAnsi="Wingdings"/>
      </w:rPr>
    </w:lvl>
    <w:lvl w:ilvl="6">
      <w:numFmt w:val="bullet"/>
      <w:lvlText w:val=""/>
      <w:lvlJc w:val="left"/>
      <w:pPr>
        <w:ind w:left="5397" w:hanging="360"/>
      </w:pPr>
      <w:rPr>
        <w:rFonts w:ascii="Symbol" w:hAnsi="Symbol"/>
      </w:rPr>
    </w:lvl>
    <w:lvl w:ilvl="7">
      <w:numFmt w:val="bullet"/>
      <w:lvlText w:val="o"/>
      <w:lvlJc w:val="left"/>
      <w:pPr>
        <w:ind w:left="6117" w:hanging="360"/>
      </w:pPr>
      <w:rPr>
        <w:rFonts w:ascii="Courier New" w:hAnsi="Courier New" w:cs="Courier New"/>
      </w:rPr>
    </w:lvl>
    <w:lvl w:ilvl="8">
      <w:numFmt w:val="bullet"/>
      <w:lvlText w:val=""/>
      <w:lvlJc w:val="left"/>
      <w:pPr>
        <w:ind w:left="6837" w:hanging="360"/>
      </w:pPr>
      <w:rPr>
        <w:rFonts w:ascii="Wingdings" w:hAnsi="Wingdings"/>
      </w:rPr>
    </w:lvl>
  </w:abstractNum>
  <w:abstractNum w:abstractNumId="27">
    <w:nsid w:val="60AC7503"/>
    <w:multiLevelType w:val="hybridMultilevel"/>
    <w:tmpl w:val="6C62868C"/>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8">
    <w:nsid w:val="614D2024"/>
    <w:multiLevelType w:val="hybridMultilevel"/>
    <w:tmpl w:val="69649D3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6461192E"/>
    <w:multiLevelType w:val="hybridMultilevel"/>
    <w:tmpl w:val="806C0D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6592CFA"/>
    <w:multiLevelType w:val="hybridMultilevel"/>
    <w:tmpl w:val="5308EA46"/>
    <w:lvl w:ilvl="0" w:tplc="FFFFFFFF">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6DE81DFA"/>
    <w:multiLevelType w:val="hybridMultilevel"/>
    <w:tmpl w:val="7544490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2">
    <w:nsid w:val="6EB271A6"/>
    <w:multiLevelType w:val="hybridMultilevel"/>
    <w:tmpl w:val="1F58FE8A"/>
    <w:lvl w:ilvl="0" w:tplc="04190001">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33">
    <w:nsid w:val="73F42F94"/>
    <w:multiLevelType w:val="hybridMultilevel"/>
    <w:tmpl w:val="F310778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nsid w:val="78202C90"/>
    <w:multiLevelType w:val="multilevel"/>
    <w:tmpl w:val="7FBCCC40"/>
    <w:lvl w:ilvl="0">
      <w:start w:val="1"/>
      <w:numFmt w:val="bullet"/>
      <w:lvlText w:val="·"/>
      <w:lvlJc w:val="left"/>
      <w:rPr>
        <w:sz w:val="24"/>
      </w:rPr>
    </w:lvl>
    <w:lvl w:ilvl="1">
      <w:start w:val="1"/>
      <w:numFmt w:val="bullet"/>
      <w:lvlText w:val="o"/>
      <w:lvlJc w:val="left"/>
      <w:rPr>
        <w:rFonts w:ascii="Courier New" w:hAnsi="Courier New"/>
        <w:sz w:val="24"/>
      </w:rPr>
    </w:lvl>
    <w:lvl w:ilvl="2">
      <w:start w:val="1"/>
      <w:numFmt w:val="bullet"/>
      <w:lvlText w:val="§"/>
      <w:lvlJc w:val="left"/>
      <w:rPr>
        <w:sz w:val="24"/>
      </w:rPr>
    </w:lvl>
    <w:lvl w:ilvl="3">
      <w:start w:val="1"/>
      <w:numFmt w:val="bullet"/>
      <w:lvlText w:val="·"/>
      <w:lvlJc w:val="left"/>
      <w:rPr>
        <w:sz w:val="24"/>
      </w:rPr>
    </w:lvl>
    <w:lvl w:ilvl="4">
      <w:start w:val="1"/>
      <w:numFmt w:val="bullet"/>
      <w:lvlText w:val="o"/>
      <w:lvlJc w:val="left"/>
      <w:rPr>
        <w:rFonts w:ascii="Courier New" w:hAnsi="Courier New"/>
        <w:sz w:val="24"/>
      </w:rPr>
    </w:lvl>
    <w:lvl w:ilvl="5">
      <w:start w:val="1"/>
      <w:numFmt w:val="bullet"/>
      <w:lvlText w:val="§"/>
      <w:lvlJc w:val="left"/>
      <w:rPr>
        <w:sz w:val="24"/>
      </w:rPr>
    </w:lvl>
    <w:lvl w:ilvl="6">
      <w:start w:val="1"/>
      <w:numFmt w:val="bullet"/>
      <w:lvlText w:val="·"/>
      <w:lvlJc w:val="left"/>
      <w:rPr>
        <w:sz w:val="24"/>
      </w:rPr>
    </w:lvl>
    <w:lvl w:ilvl="7">
      <w:start w:val="1"/>
      <w:numFmt w:val="bullet"/>
      <w:lvlText w:val="o"/>
      <w:lvlJc w:val="left"/>
      <w:rPr>
        <w:rFonts w:ascii="Courier New" w:hAnsi="Courier New"/>
        <w:sz w:val="24"/>
      </w:rPr>
    </w:lvl>
    <w:lvl w:ilvl="8">
      <w:start w:val="1"/>
      <w:numFmt w:val="bullet"/>
      <w:lvlText w:val="§"/>
      <w:lvlJc w:val="left"/>
      <w:rPr>
        <w:sz w:val="24"/>
      </w:rPr>
    </w:lvl>
  </w:abstractNum>
  <w:abstractNum w:abstractNumId="35">
    <w:nsid w:val="79644C83"/>
    <w:multiLevelType w:val="hybridMultilevel"/>
    <w:tmpl w:val="BC2A21CE"/>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6">
    <w:nsid w:val="7C4951B3"/>
    <w:multiLevelType w:val="hybridMultilevel"/>
    <w:tmpl w:val="FDC2A20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nsid w:val="7DE05502"/>
    <w:multiLevelType w:val="hybridMultilevel"/>
    <w:tmpl w:val="CE820AFC"/>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32"/>
  </w:num>
  <w:num w:numId="2">
    <w:abstractNumId w:val="16"/>
  </w:num>
  <w:num w:numId="3">
    <w:abstractNumId w:val="3"/>
  </w:num>
  <w:num w:numId="4">
    <w:abstractNumId w:val="0"/>
  </w:num>
  <w:num w:numId="5">
    <w:abstractNumId w:val="14"/>
  </w:num>
  <w:num w:numId="6">
    <w:abstractNumId w:val="6"/>
  </w:num>
  <w:num w:numId="7">
    <w:abstractNumId w:val="31"/>
  </w:num>
  <w:num w:numId="8">
    <w:abstractNumId w:val="1"/>
  </w:num>
  <w:num w:numId="9">
    <w:abstractNumId w:val="35"/>
  </w:num>
  <w:num w:numId="10">
    <w:abstractNumId w:val="34"/>
  </w:num>
  <w:num w:numId="11">
    <w:abstractNumId w:val="12"/>
  </w:num>
  <w:num w:numId="12">
    <w:abstractNumId w:val="10"/>
  </w:num>
  <w:num w:numId="13">
    <w:abstractNumId w:val="33"/>
  </w:num>
  <w:num w:numId="14">
    <w:abstractNumId w:val="19"/>
  </w:num>
  <w:num w:numId="15">
    <w:abstractNumId w:val="13"/>
  </w:num>
  <w:num w:numId="16">
    <w:abstractNumId w:val="15"/>
  </w:num>
  <w:num w:numId="17">
    <w:abstractNumId w:val="4"/>
  </w:num>
  <w:num w:numId="18">
    <w:abstractNumId w:val="8"/>
  </w:num>
  <w:num w:numId="19">
    <w:abstractNumId w:val="30"/>
  </w:num>
  <w:num w:numId="20">
    <w:abstractNumId w:val="18"/>
  </w:num>
  <w:num w:numId="21">
    <w:abstractNumId w:val="37"/>
  </w:num>
  <w:num w:numId="22">
    <w:abstractNumId w:val="11"/>
  </w:num>
  <w:num w:numId="23">
    <w:abstractNumId w:val="24"/>
  </w:num>
  <w:num w:numId="24">
    <w:abstractNumId w:val="9"/>
  </w:num>
  <w:num w:numId="25">
    <w:abstractNumId w:val="28"/>
  </w:num>
  <w:num w:numId="26">
    <w:abstractNumId w:val="29"/>
  </w:num>
  <w:num w:numId="27">
    <w:abstractNumId w:val="5"/>
  </w:num>
  <w:num w:numId="28">
    <w:abstractNumId w:val="27"/>
  </w:num>
  <w:num w:numId="29">
    <w:abstractNumId w:val="2"/>
  </w:num>
  <w:num w:numId="30">
    <w:abstractNumId w:val="17"/>
  </w:num>
  <w:num w:numId="31">
    <w:abstractNumId w:val="23"/>
  </w:num>
  <w:num w:numId="32">
    <w:abstractNumId w:val="36"/>
  </w:num>
  <w:num w:numId="33">
    <w:abstractNumId w:val="26"/>
  </w:num>
  <w:num w:numId="34">
    <w:abstractNumId w:val="22"/>
  </w:num>
  <w:num w:numId="35">
    <w:abstractNumId w:val="20"/>
  </w:num>
  <w:num w:numId="36">
    <w:abstractNumId w:val="21"/>
  </w:num>
  <w:num w:numId="37">
    <w:abstractNumId w:val="7"/>
  </w:num>
  <w:num w:numId="38">
    <w:abstractNumId w:val="2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Титова Наталья Вадимовна">
    <w15:presenceInfo w15:providerId="AD" w15:userId="S-1-5-21-2110615740-823941886-1632782223-3042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trackRevision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0AC2"/>
    <w:rsid w:val="00006842"/>
    <w:rsid w:val="00012964"/>
    <w:rsid w:val="000135D9"/>
    <w:rsid w:val="00014FB6"/>
    <w:rsid w:val="00015FDE"/>
    <w:rsid w:val="0002051E"/>
    <w:rsid w:val="00023C16"/>
    <w:rsid w:val="000449BA"/>
    <w:rsid w:val="00047181"/>
    <w:rsid w:val="00053907"/>
    <w:rsid w:val="00054D0B"/>
    <w:rsid w:val="00060DD7"/>
    <w:rsid w:val="000615EF"/>
    <w:rsid w:val="00061EFC"/>
    <w:rsid w:val="000647F2"/>
    <w:rsid w:val="0006561E"/>
    <w:rsid w:val="000676B2"/>
    <w:rsid w:val="0007112A"/>
    <w:rsid w:val="00071233"/>
    <w:rsid w:val="00084908"/>
    <w:rsid w:val="000927AC"/>
    <w:rsid w:val="00092D88"/>
    <w:rsid w:val="00094B4F"/>
    <w:rsid w:val="00096BB6"/>
    <w:rsid w:val="000A5B22"/>
    <w:rsid w:val="000B0A92"/>
    <w:rsid w:val="000B2EF1"/>
    <w:rsid w:val="000B3E5A"/>
    <w:rsid w:val="000B47F6"/>
    <w:rsid w:val="000C0CF7"/>
    <w:rsid w:val="000C4FE6"/>
    <w:rsid w:val="000D5772"/>
    <w:rsid w:val="000D66A9"/>
    <w:rsid w:val="000E048F"/>
    <w:rsid w:val="000E1DDB"/>
    <w:rsid w:val="000E56D4"/>
    <w:rsid w:val="000E7030"/>
    <w:rsid w:val="00112388"/>
    <w:rsid w:val="00113DE9"/>
    <w:rsid w:val="0011688F"/>
    <w:rsid w:val="001169FE"/>
    <w:rsid w:val="00142B05"/>
    <w:rsid w:val="001459DC"/>
    <w:rsid w:val="001465B0"/>
    <w:rsid w:val="00146CA2"/>
    <w:rsid w:val="00151548"/>
    <w:rsid w:val="00154FB5"/>
    <w:rsid w:val="00156691"/>
    <w:rsid w:val="00156D5A"/>
    <w:rsid w:val="00160384"/>
    <w:rsid w:val="001728D9"/>
    <w:rsid w:val="00176947"/>
    <w:rsid w:val="001930CD"/>
    <w:rsid w:val="001A0C85"/>
    <w:rsid w:val="001A3384"/>
    <w:rsid w:val="001A4DAC"/>
    <w:rsid w:val="001B68DF"/>
    <w:rsid w:val="001B6D1E"/>
    <w:rsid w:val="001B7776"/>
    <w:rsid w:val="001C33A6"/>
    <w:rsid w:val="001D210C"/>
    <w:rsid w:val="001D31A1"/>
    <w:rsid w:val="001D6098"/>
    <w:rsid w:val="001D7BDD"/>
    <w:rsid w:val="001F036D"/>
    <w:rsid w:val="001F0EB1"/>
    <w:rsid w:val="00201C9F"/>
    <w:rsid w:val="002166BC"/>
    <w:rsid w:val="002168CC"/>
    <w:rsid w:val="0022007B"/>
    <w:rsid w:val="0022020C"/>
    <w:rsid w:val="00231487"/>
    <w:rsid w:val="002329CB"/>
    <w:rsid w:val="00235A5E"/>
    <w:rsid w:val="00237856"/>
    <w:rsid w:val="00240514"/>
    <w:rsid w:val="00240EB9"/>
    <w:rsid w:val="00244D77"/>
    <w:rsid w:val="00247953"/>
    <w:rsid w:val="00250B8C"/>
    <w:rsid w:val="00253A19"/>
    <w:rsid w:val="00256369"/>
    <w:rsid w:val="0025771F"/>
    <w:rsid w:val="002740C1"/>
    <w:rsid w:val="002754FA"/>
    <w:rsid w:val="002759F9"/>
    <w:rsid w:val="0027630D"/>
    <w:rsid w:val="002851A5"/>
    <w:rsid w:val="002870EF"/>
    <w:rsid w:val="00287F25"/>
    <w:rsid w:val="00291467"/>
    <w:rsid w:val="00292F61"/>
    <w:rsid w:val="00293F27"/>
    <w:rsid w:val="002951BF"/>
    <w:rsid w:val="002A0A03"/>
    <w:rsid w:val="002A1794"/>
    <w:rsid w:val="002A2123"/>
    <w:rsid w:val="002A3E11"/>
    <w:rsid w:val="002B1236"/>
    <w:rsid w:val="002B17F6"/>
    <w:rsid w:val="002B2389"/>
    <w:rsid w:val="002B2B51"/>
    <w:rsid w:val="002B44FF"/>
    <w:rsid w:val="002B4571"/>
    <w:rsid w:val="002C5423"/>
    <w:rsid w:val="002D481D"/>
    <w:rsid w:val="002D565A"/>
    <w:rsid w:val="002E4F70"/>
    <w:rsid w:val="002E74CB"/>
    <w:rsid w:val="002F1FB7"/>
    <w:rsid w:val="00312480"/>
    <w:rsid w:val="00315E98"/>
    <w:rsid w:val="00324450"/>
    <w:rsid w:val="00324681"/>
    <w:rsid w:val="003352A2"/>
    <w:rsid w:val="00335EE7"/>
    <w:rsid w:val="00346FDB"/>
    <w:rsid w:val="0035293A"/>
    <w:rsid w:val="00355AB8"/>
    <w:rsid w:val="0035736A"/>
    <w:rsid w:val="00363809"/>
    <w:rsid w:val="00366F6A"/>
    <w:rsid w:val="00367380"/>
    <w:rsid w:val="003727EB"/>
    <w:rsid w:val="00374579"/>
    <w:rsid w:val="003764B2"/>
    <w:rsid w:val="003903BA"/>
    <w:rsid w:val="00391F22"/>
    <w:rsid w:val="003A0073"/>
    <w:rsid w:val="003A2721"/>
    <w:rsid w:val="003A67A2"/>
    <w:rsid w:val="003B096A"/>
    <w:rsid w:val="003B36EE"/>
    <w:rsid w:val="003B4A07"/>
    <w:rsid w:val="003B7F58"/>
    <w:rsid w:val="003C07CC"/>
    <w:rsid w:val="003C7487"/>
    <w:rsid w:val="003D1446"/>
    <w:rsid w:val="003D75CC"/>
    <w:rsid w:val="003E17E4"/>
    <w:rsid w:val="003F029F"/>
    <w:rsid w:val="003F1D31"/>
    <w:rsid w:val="003F6B7E"/>
    <w:rsid w:val="00403AA3"/>
    <w:rsid w:val="00404FEB"/>
    <w:rsid w:val="00413496"/>
    <w:rsid w:val="00423112"/>
    <w:rsid w:val="00424B59"/>
    <w:rsid w:val="00434272"/>
    <w:rsid w:val="00441AEB"/>
    <w:rsid w:val="00442D23"/>
    <w:rsid w:val="00445E18"/>
    <w:rsid w:val="00464A3D"/>
    <w:rsid w:val="00464AB7"/>
    <w:rsid w:val="00466A8C"/>
    <w:rsid w:val="00474B15"/>
    <w:rsid w:val="00476ECD"/>
    <w:rsid w:val="004833D5"/>
    <w:rsid w:val="00483680"/>
    <w:rsid w:val="004836B3"/>
    <w:rsid w:val="00483839"/>
    <w:rsid w:val="00485225"/>
    <w:rsid w:val="00486B17"/>
    <w:rsid w:val="004914C1"/>
    <w:rsid w:val="00492E4F"/>
    <w:rsid w:val="0049477E"/>
    <w:rsid w:val="004A41A0"/>
    <w:rsid w:val="004B240D"/>
    <w:rsid w:val="004B4213"/>
    <w:rsid w:val="004B5332"/>
    <w:rsid w:val="004C0DD4"/>
    <w:rsid w:val="004C14BA"/>
    <w:rsid w:val="004C4720"/>
    <w:rsid w:val="004C478C"/>
    <w:rsid w:val="004D589C"/>
    <w:rsid w:val="004E2409"/>
    <w:rsid w:val="004E498C"/>
    <w:rsid w:val="004F36AA"/>
    <w:rsid w:val="004F7A38"/>
    <w:rsid w:val="00501E4F"/>
    <w:rsid w:val="00520F71"/>
    <w:rsid w:val="00521A3C"/>
    <w:rsid w:val="0052498C"/>
    <w:rsid w:val="00527B3F"/>
    <w:rsid w:val="00527FBD"/>
    <w:rsid w:val="00533646"/>
    <w:rsid w:val="0053673F"/>
    <w:rsid w:val="0054273C"/>
    <w:rsid w:val="00545805"/>
    <w:rsid w:val="00552EC5"/>
    <w:rsid w:val="0055568A"/>
    <w:rsid w:val="00557621"/>
    <w:rsid w:val="00560AF3"/>
    <w:rsid w:val="0056772C"/>
    <w:rsid w:val="00570CBA"/>
    <w:rsid w:val="0057460D"/>
    <w:rsid w:val="005757EF"/>
    <w:rsid w:val="0058502A"/>
    <w:rsid w:val="00596705"/>
    <w:rsid w:val="00596F87"/>
    <w:rsid w:val="00597381"/>
    <w:rsid w:val="005A677C"/>
    <w:rsid w:val="005C0697"/>
    <w:rsid w:val="005C0A98"/>
    <w:rsid w:val="005C57A6"/>
    <w:rsid w:val="005C69A0"/>
    <w:rsid w:val="005D27AD"/>
    <w:rsid w:val="005D5336"/>
    <w:rsid w:val="005E0AC2"/>
    <w:rsid w:val="005E3099"/>
    <w:rsid w:val="005E44FB"/>
    <w:rsid w:val="005E48DA"/>
    <w:rsid w:val="005F1C4F"/>
    <w:rsid w:val="005F7E60"/>
    <w:rsid w:val="0060155C"/>
    <w:rsid w:val="00605124"/>
    <w:rsid w:val="006127E0"/>
    <w:rsid w:val="00616EF7"/>
    <w:rsid w:val="00622F8D"/>
    <w:rsid w:val="00626F1B"/>
    <w:rsid w:val="006273C4"/>
    <w:rsid w:val="00631340"/>
    <w:rsid w:val="00631CD1"/>
    <w:rsid w:val="0063624A"/>
    <w:rsid w:val="00670D27"/>
    <w:rsid w:val="00670D65"/>
    <w:rsid w:val="006745BA"/>
    <w:rsid w:val="00692374"/>
    <w:rsid w:val="006A38C6"/>
    <w:rsid w:val="006A4187"/>
    <w:rsid w:val="006B3965"/>
    <w:rsid w:val="006B5480"/>
    <w:rsid w:val="006B679B"/>
    <w:rsid w:val="006D1F56"/>
    <w:rsid w:val="006D5CAC"/>
    <w:rsid w:val="006D64C4"/>
    <w:rsid w:val="006E1A94"/>
    <w:rsid w:val="006F32C9"/>
    <w:rsid w:val="006F6230"/>
    <w:rsid w:val="00707D49"/>
    <w:rsid w:val="00710039"/>
    <w:rsid w:val="0071209D"/>
    <w:rsid w:val="0071229B"/>
    <w:rsid w:val="00713E6F"/>
    <w:rsid w:val="00723137"/>
    <w:rsid w:val="007316B7"/>
    <w:rsid w:val="007319A1"/>
    <w:rsid w:val="00732B66"/>
    <w:rsid w:val="00733C3E"/>
    <w:rsid w:val="00737540"/>
    <w:rsid w:val="007426BF"/>
    <w:rsid w:val="0074545E"/>
    <w:rsid w:val="007458C3"/>
    <w:rsid w:val="007476AF"/>
    <w:rsid w:val="00750A36"/>
    <w:rsid w:val="00755B5C"/>
    <w:rsid w:val="0075747A"/>
    <w:rsid w:val="007651B5"/>
    <w:rsid w:val="00774064"/>
    <w:rsid w:val="00775D1A"/>
    <w:rsid w:val="00782A13"/>
    <w:rsid w:val="00787E07"/>
    <w:rsid w:val="0079028F"/>
    <w:rsid w:val="007930FC"/>
    <w:rsid w:val="007931BD"/>
    <w:rsid w:val="00793334"/>
    <w:rsid w:val="0079548A"/>
    <w:rsid w:val="007A47A2"/>
    <w:rsid w:val="007B0978"/>
    <w:rsid w:val="007B1D60"/>
    <w:rsid w:val="007B2D5F"/>
    <w:rsid w:val="007B573D"/>
    <w:rsid w:val="007B6CF9"/>
    <w:rsid w:val="007B74E2"/>
    <w:rsid w:val="007D028B"/>
    <w:rsid w:val="007D0467"/>
    <w:rsid w:val="007D18EF"/>
    <w:rsid w:val="007D31B3"/>
    <w:rsid w:val="007D3222"/>
    <w:rsid w:val="007D50CC"/>
    <w:rsid w:val="007D51B0"/>
    <w:rsid w:val="007D6847"/>
    <w:rsid w:val="007D7C2D"/>
    <w:rsid w:val="007E1E20"/>
    <w:rsid w:val="007F45AE"/>
    <w:rsid w:val="008017DD"/>
    <w:rsid w:val="0081130A"/>
    <w:rsid w:val="0081460A"/>
    <w:rsid w:val="008159EF"/>
    <w:rsid w:val="0081789B"/>
    <w:rsid w:val="008268E9"/>
    <w:rsid w:val="00827421"/>
    <w:rsid w:val="00832430"/>
    <w:rsid w:val="00832FDB"/>
    <w:rsid w:val="0084438E"/>
    <w:rsid w:val="00845043"/>
    <w:rsid w:val="0084792E"/>
    <w:rsid w:val="008506F2"/>
    <w:rsid w:val="00850C7F"/>
    <w:rsid w:val="00851163"/>
    <w:rsid w:val="00854F9E"/>
    <w:rsid w:val="00856647"/>
    <w:rsid w:val="00857F9B"/>
    <w:rsid w:val="008615D9"/>
    <w:rsid w:val="00867D7F"/>
    <w:rsid w:val="0087331C"/>
    <w:rsid w:val="00875D35"/>
    <w:rsid w:val="0087743D"/>
    <w:rsid w:val="0088290B"/>
    <w:rsid w:val="008830DD"/>
    <w:rsid w:val="00884F41"/>
    <w:rsid w:val="00886DC8"/>
    <w:rsid w:val="00890AD1"/>
    <w:rsid w:val="008954A7"/>
    <w:rsid w:val="00895DFB"/>
    <w:rsid w:val="008A2A69"/>
    <w:rsid w:val="008A426D"/>
    <w:rsid w:val="008A56CB"/>
    <w:rsid w:val="008A6D5A"/>
    <w:rsid w:val="008A766F"/>
    <w:rsid w:val="008B13EE"/>
    <w:rsid w:val="008B1C98"/>
    <w:rsid w:val="008B6061"/>
    <w:rsid w:val="008C1793"/>
    <w:rsid w:val="008C1CEB"/>
    <w:rsid w:val="008D2220"/>
    <w:rsid w:val="008D4FC7"/>
    <w:rsid w:val="008E0DCD"/>
    <w:rsid w:val="008E2FD1"/>
    <w:rsid w:val="008E501A"/>
    <w:rsid w:val="009047CB"/>
    <w:rsid w:val="00907BBC"/>
    <w:rsid w:val="00913F1E"/>
    <w:rsid w:val="00916933"/>
    <w:rsid w:val="009252CF"/>
    <w:rsid w:val="0092532A"/>
    <w:rsid w:val="009345BB"/>
    <w:rsid w:val="00940430"/>
    <w:rsid w:val="009437F6"/>
    <w:rsid w:val="00950611"/>
    <w:rsid w:val="009525F0"/>
    <w:rsid w:val="00956158"/>
    <w:rsid w:val="00956309"/>
    <w:rsid w:val="0096459E"/>
    <w:rsid w:val="00964809"/>
    <w:rsid w:val="00966DDD"/>
    <w:rsid w:val="00967F08"/>
    <w:rsid w:val="00970290"/>
    <w:rsid w:val="00970DA0"/>
    <w:rsid w:val="00980FB8"/>
    <w:rsid w:val="00986864"/>
    <w:rsid w:val="009934E5"/>
    <w:rsid w:val="00993DFC"/>
    <w:rsid w:val="00997856"/>
    <w:rsid w:val="009B26A3"/>
    <w:rsid w:val="009B3653"/>
    <w:rsid w:val="009C05F2"/>
    <w:rsid w:val="009C177C"/>
    <w:rsid w:val="009C29A1"/>
    <w:rsid w:val="009C69B6"/>
    <w:rsid w:val="009D5B6C"/>
    <w:rsid w:val="009E1A2A"/>
    <w:rsid w:val="009E3961"/>
    <w:rsid w:val="009E4185"/>
    <w:rsid w:val="009E7AD9"/>
    <w:rsid w:val="009F702A"/>
    <w:rsid w:val="00A010F6"/>
    <w:rsid w:val="00A0659A"/>
    <w:rsid w:val="00A06BCF"/>
    <w:rsid w:val="00A13F3B"/>
    <w:rsid w:val="00A14EC6"/>
    <w:rsid w:val="00A23F05"/>
    <w:rsid w:val="00A24F7B"/>
    <w:rsid w:val="00A26374"/>
    <w:rsid w:val="00A264FB"/>
    <w:rsid w:val="00A3034A"/>
    <w:rsid w:val="00A36E5E"/>
    <w:rsid w:val="00A4431E"/>
    <w:rsid w:val="00A458CE"/>
    <w:rsid w:val="00A53CE0"/>
    <w:rsid w:val="00A57E9F"/>
    <w:rsid w:val="00A65E5F"/>
    <w:rsid w:val="00A66780"/>
    <w:rsid w:val="00A72ACD"/>
    <w:rsid w:val="00A80957"/>
    <w:rsid w:val="00A84BC9"/>
    <w:rsid w:val="00A859AF"/>
    <w:rsid w:val="00A90027"/>
    <w:rsid w:val="00A93036"/>
    <w:rsid w:val="00A936D6"/>
    <w:rsid w:val="00A94364"/>
    <w:rsid w:val="00AA14F6"/>
    <w:rsid w:val="00AA4F59"/>
    <w:rsid w:val="00AB1803"/>
    <w:rsid w:val="00AB205A"/>
    <w:rsid w:val="00AB4AEE"/>
    <w:rsid w:val="00AB787B"/>
    <w:rsid w:val="00AC1CE3"/>
    <w:rsid w:val="00AC7FDB"/>
    <w:rsid w:val="00AD0652"/>
    <w:rsid w:val="00AE2912"/>
    <w:rsid w:val="00AE3753"/>
    <w:rsid w:val="00AE796E"/>
    <w:rsid w:val="00AE7F46"/>
    <w:rsid w:val="00AF0DD2"/>
    <w:rsid w:val="00AF22E8"/>
    <w:rsid w:val="00AF2626"/>
    <w:rsid w:val="00AF76C5"/>
    <w:rsid w:val="00B047B0"/>
    <w:rsid w:val="00B12A39"/>
    <w:rsid w:val="00B1520B"/>
    <w:rsid w:val="00B1534C"/>
    <w:rsid w:val="00B1655E"/>
    <w:rsid w:val="00B27249"/>
    <w:rsid w:val="00B300E4"/>
    <w:rsid w:val="00B31D96"/>
    <w:rsid w:val="00B33AF2"/>
    <w:rsid w:val="00B33C76"/>
    <w:rsid w:val="00B36612"/>
    <w:rsid w:val="00B3732B"/>
    <w:rsid w:val="00B4468B"/>
    <w:rsid w:val="00B47DC8"/>
    <w:rsid w:val="00B51F4A"/>
    <w:rsid w:val="00B6079A"/>
    <w:rsid w:val="00B6231F"/>
    <w:rsid w:val="00B73C85"/>
    <w:rsid w:val="00B802F9"/>
    <w:rsid w:val="00B80B68"/>
    <w:rsid w:val="00B825E9"/>
    <w:rsid w:val="00B849BE"/>
    <w:rsid w:val="00B85398"/>
    <w:rsid w:val="00B91F3E"/>
    <w:rsid w:val="00B929CD"/>
    <w:rsid w:val="00B95261"/>
    <w:rsid w:val="00B95B42"/>
    <w:rsid w:val="00B972FD"/>
    <w:rsid w:val="00BA2EFE"/>
    <w:rsid w:val="00BC40DE"/>
    <w:rsid w:val="00BC66E0"/>
    <w:rsid w:val="00BC7298"/>
    <w:rsid w:val="00BC7AAA"/>
    <w:rsid w:val="00BE3CF0"/>
    <w:rsid w:val="00BF0046"/>
    <w:rsid w:val="00BF5CDB"/>
    <w:rsid w:val="00BF5D13"/>
    <w:rsid w:val="00C03A04"/>
    <w:rsid w:val="00C16276"/>
    <w:rsid w:val="00C17934"/>
    <w:rsid w:val="00C22AC6"/>
    <w:rsid w:val="00C2400D"/>
    <w:rsid w:val="00C25BC5"/>
    <w:rsid w:val="00C37077"/>
    <w:rsid w:val="00C5163E"/>
    <w:rsid w:val="00C5199A"/>
    <w:rsid w:val="00C53BDE"/>
    <w:rsid w:val="00C54642"/>
    <w:rsid w:val="00C55A35"/>
    <w:rsid w:val="00C60EC3"/>
    <w:rsid w:val="00C63312"/>
    <w:rsid w:val="00C6569A"/>
    <w:rsid w:val="00C721AD"/>
    <w:rsid w:val="00C809D3"/>
    <w:rsid w:val="00C81FA7"/>
    <w:rsid w:val="00C820A3"/>
    <w:rsid w:val="00C82365"/>
    <w:rsid w:val="00C829F4"/>
    <w:rsid w:val="00C85537"/>
    <w:rsid w:val="00C90C2C"/>
    <w:rsid w:val="00C96452"/>
    <w:rsid w:val="00CA1CDF"/>
    <w:rsid w:val="00CA67E7"/>
    <w:rsid w:val="00CC689E"/>
    <w:rsid w:val="00CD0E6B"/>
    <w:rsid w:val="00CD11F1"/>
    <w:rsid w:val="00CD1316"/>
    <w:rsid w:val="00CD4CBC"/>
    <w:rsid w:val="00CE4681"/>
    <w:rsid w:val="00CE60A7"/>
    <w:rsid w:val="00CF2521"/>
    <w:rsid w:val="00D004B6"/>
    <w:rsid w:val="00D049F7"/>
    <w:rsid w:val="00D059B1"/>
    <w:rsid w:val="00D06977"/>
    <w:rsid w:val="00D266D9"/>
    <w:rsid w:val="00D41022"/>
    <w:rsid w:val="00D43549"/>
    <w:rsid w:val="00D523C2"/>
    <w:rsid w:val="00D541D4"/>
    <w:rsid w:val="00D6151A"/>
    <w:rsid w:val="00D740EC"/>
    <w:rsid w:val="00D74C7E"/>
    <w:rsid w:val="00D8273E"/>
    <w:rsid w:val="00D8717D"/>
    <w:rsid w:val="00D95C60"/>
    <w:rsid w:val="00DA19F4"/>
    <w:rsid w:val="00DA23DB"/>
    <w:rsid w:val="00DA5F17"/>
    <w:rsid w:val="00DA6006"/>
    <w:rsid w:val="00DA6BAE"/>
    <w:rsid w:val="00DA7310"/>
    <w:rsid w:val="00DB1393"/>
    <w:rsid w:val="00DB3416"/>
    <w:rsid w:val="00DC3EF7"/>
    <w:rsid w:val="00DC440A"/>
    <w:rsid w:val="00DC53F1"/>
    <w:rsid w:val="00DD2C3C"/>
    <w:rsid w:val="00DD3433"/>
    <w:rsid w:val="00DD38EA"/>
    <w:rsid w:val="00DD7A32"/>
    <w:rsid w:val="00DE4EC5"/>
    <w:rsid w:val="00DE645B"/>
    <w:rsid w:val="00DF0506"/>
    <w:rsid w:val="00DF5FA1"/>
    <w:rsid w:val="00E0142D"/>
    <w:rsid w:val="00E066DD"/>
    <w:rsid w:val="00E069A1"/>
    <w:rsid w:val="00E06C80"/>
    <w:rsid w:val="00E07DAC"/>
    <w:rsid w:val="00E13447"/>
    <w:rsid w:val="00E14BB3"/>
    <w:rsid w:val="00E24B28"/>
    <w:rsid w:val="00E261A8"/>
    <w:rsid w:val="00E36E49"/>
    <w:rsid w:val="00E3721D"/>
    <w:rsid w:val="00E432E4"/>
    <w:rsid w:val="00E47AE8"/>
    <w:rsid w:val="00E55AA9"/>
    <w:rsid w:val="00E66E98"/>
    <w:rsid w:val="00E71715"/>
    <w:rsid w:val="00E75C4D"/>
    <w:rsid w:val="00E766CA"/>
    <w:rsid w:val="00E772F7"/>
    <w:rsid w:val="00E7746C"/>
    <w:rsid w:val="00E82CE3"/>
    <w:rsid w:val="00E93C36"/>
    <w:rsid w:val="00E940D8"/>
    <w:rsid w:val="00E948B6"/>
    <w:rsid w:val="00E95481"/>
    <w:rsid w:val="00EA5AEC"/>
    <w:rsid w:val="00EA5D24"/>
    <w:rsid w:val="00EA7E33"/>
    <w:rsid w:val="00EB7AC7"/>
    <w:rsid w:val="00EB7D26"/>
    <w:rsid w:val="00ED408B"/>
    <w:rsid w:val="00EE2E12"/>
    <w:rsid w:val="00F07E0C"/>
    <w:rsid w:val="00F137EC"/>
    <w:rsid w:val="00F14D36"/>
    <w:rsid w:val="00F2176A"/>
    <w:rsid w:val="00F2400E"/>
    <w:rsid w:val="00F278AC"/>
    <w:rsid w:val="00F5271E"/>
    <w:rsid w:val="00F53642"/>
    <w:rsid w:val="00F60941"/>
    <w:rsid w:val="00F609B4"/>
    <w:rsid w:val="00F62832"/>
    <w:rsid w:val="00F63EE2"/>
    <w:rsid w:val="00F660DF"/>
    <w:rsid w:val="00F80610"/>
    <w:rsid w:val="00F806FC"/>
    <w:rsid w:val="00F8299E"/>
    <w:rsid w:val="00F92C08"/>
    <w:rsid w:val="00F95FDB"/>
    <w:rsid w:val="00F9631E"/>
    <w:rsid w:val="00F96B74"/>
    <w:rsid w:val="00FA6BE4"/>
    <w:rsid w:val="00FB3D99"/>
    <w:rsid w:val="00FB6CC3"/>
    <w:rsid w:val="00FC05ED"/>
    <w:rsid w:val="00FC2A0B"/>
    <w:rsid w:val="00FF464A"/>
    <w:rsid w:val="00FF56F4"/>
    <w:rsid w:val="00FF63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0AC2"/>
    <w:pPr>
      <w:widowControl w:val="0"/>
      <w:autoSpaceDE w:val="0"/>
      <w:autoSpaceDN w:val="0"/>
      <w:adjustRightInd w:val="0"/>
      <w:spacing w:before="20" w:after="4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616EF7"/>
    <w:pPr>
      <w:keepNext/>
      <w:widowControl/>
      <w:autoSpaceDE/>
      <w:autoSpaceDN/>
      <w:adjustRightInd/>
      <w:spacing w:before="240" w:after="60"/>
      <w:outlineLvl w:val="0"/>
    </w:pPr>
    <w:rPr>
      <w:rFonts w:ascii="Arial" w:eastAsia="Calibri" w:hAnsi="Arial" w:cs="Arial"/>
      <w:b/>
      <w:bCs/>
      <w:kern w:val="32"/>
      <w:sz w:val="32"/>
      <w:szCs w:val="32"/>
      <w:lang w:eastAsia="en-US"/>
    </w:rPr>
  </w:style>
  <w:style w:type="paragraph" w:styleId="4">
    <w:name w:val="heading 4"/>
    <w:basedOn w:val="a"/>
    <w:next w:val="a"/>
    <w:link w:val="40"/>
    <w:uiPriority w:val="9"/>
    <w:semiHidden/>
    <w:unhideWhenUsed/>
    <w:qFormat/>
    <w:rsid w:val="00CD131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nhideWhenUsed/>
    <w:rsid w:val="005E0AC2"/>
  </w:style>
  <w:style w:type="character" w:customStyle="1" w:styleId="a4">
    <w:name w:val="Текст примечания Знак"/>
    <w:basedOn w:val="a0"/>
    <w:link w:val="a3"/>
    <w:rsid w:val="005E0AC2"/>
    <w:rPr>
      <w:rFonts w:ascii="Times New Roman" w:eastAsia="Times New Roman" w:hAnsi="Times New Roman" w:cs="Times New Roman"/>
      <w:sz w:val="20"/>
      <w:szCs w:val="20"/>
      <w:lang w:eastAsia="ru-RU"/>
    </w:rPr>
  </w:style>
  <w:style w:type="paragraph" w:customStyle="1" w:styleId="Default">
    <w:name w:val="Default"/>
    <w:rsid w:val="005E0AC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onsPlusNormal">
    <w:name w:val="ConsPlusNormal"/>
    <w:rsid w:val="005E0AC2"/>
    <w:pPr>
      <w:autoSpaceDE w:val="0"/>
      <w:autoSpaceDN w:val="0"/>
      <w:adjustRightInd w:val="0"/>
      <w:spacing w:after="0" w:line="240" w:lineRule="auto"/>
    </w:pPr>
    <w:rPr>
      <w:rFonts w:ascii="Arial" w:hAnsi="Arial" w:cs="Arial"/>
      <w:sz w:val="20"/>
      <w:szCs w:val="20"/>
    </w:rPr>
  </w:style>
  <w:style w:type="character" w:styleId="a5">
    <w:name w:val="annotation reference"/>
    <w:basedOn w:val="a0"/>
    <w:uiPriority w:val="99"/>
    <w:unhideWhenUsed/>
    <w:rsid w:val="005E0AC2"/>
    <w:rPr>
      <w:sz w:val="16"/>
      <w:szCs w:val="16"/>
    </w:rPr>
  </w:style>
  <w:style w:type="character" w:customStyle="1" w:styleId="Subst">
    <w:name w:val="Subst"/>
    <w:uiPriority w:val="99"/>
    <w:rsid w:val="005E0AC2"/>
    <w:rPr>
      <w:b/>
      <w:bCs w:val="0"/>
      <w:i/>
      <w:iCs w:val="0"/>
    </w:rPr>
  </w:style>
  <w:style w:type="character" w:styleId="a6">
    <w:name w:val="Strong"/>
    <w:basedOn w:val="a0"/>
    <w:uiPriority w:val="22"/>
    <w:qFormat/>
    <w:rsid w:val="005E0AC2"/>
    <w:rPr>
      <w:b/>
      <w:bCs/>
    </w:rPr>
  </w:style>
  <w:style w:type="paragraph" w:styleId="a7">
    <w:name w:val="Balloon Text"/>
    <w:basedOn w:val="a"/>
    <w:link w:val="a8"/>
    <w:uiPriority w:val="99"/>
    <w:semiHidden/>
    <w:unhideWhenUsed/>
    <w:rsid w:val="005E0AC2"/>
    <w:pPr>
      <w:spacing w:before="0" w:after="0"/>
    </w:pPr>
    <w:rPr>
      <w:rFonts w:ascii="Tahoma" w:hAnsi="Tahoma" w:cs="Tahoma"/>
      <w:sz w:val="16"/>
      <w:szCs w:val="16"/>
    </w:rPr>
  </w:style>
  <w:style w:type="character" w:customStyle="1" w:styleId="a8">
    <w:name w:val="Текст выноски Знак"/>
    <w:basedOn w:val="a0"/>
    <w:link w:val="a7"/>
    <w:uiPriority w:val="99"/>
    <w:semiHidden/>
    <w:rsid w:val="005E0AC2"/>
    <w:rPr>
      <w:rFonts w:ascii="Tahoma" w:eastAsia="Times New Roman" w:hAnsi="Tahoma" w:cs="Tahoma"/>
      <w:sz w:val="16"/>
      <w:szCs w:val="16"/>
      <w:lang w:eastAsia="ru-RU"/>
    </w:rPr>
  </w:style>
  <w:style w:type="paragraph" w:styleId="a9">
    <w:name w:val="List Paragraph"/>
    <w:basedOn w:val="a"/>
    <w:qFormat/>
    <w:rsid w:val="000647F2"/>
    <w:pPr>
      <w:ind w:left="720"/>
      <w:contextualSpacing/>
    </w:pPr>
  </w:style>
  <w:style w:type="character" w:styleId="aa">
    <w:name w:val="Hyperlink"/>
    <w:basedOn w:val="a0"/>
    <w:uiPriority w:val="99"/>
    <w:unhideWhenUsed/>
    <w:rsid w:val="000647F2"/>
    <w:rPr>
      <w:color w:val="0000FF"/>
      <w:u w:val="single"/>
    </w:rPr>
  </w:style>
  <w:style w:type="paragraph" w:styleId="ab">
    <w:name w:val="annotation subject"/>
    <w:basedOn w:val="a3"/>
    <w:next w:val="a3"/>
    <w:link w:val="ac"/>
    <w:uiPriority w:val="99"/>
    <w:semiHidden/>
    <w:unhideWhenUsed/>
    <w:rsid w:val="000647F2"/>
    <w:rPr>
      <w:b/>
      <w:bCs/>
    </w:rPr>
  </w:style>
  <w:style w:type="character" w:customStyle="1" w:styleId="ac">
    <w:name w:val="Тема примечания Знак"/>
    <w:basedOn w:val="a4"/>
    <w:link w:val="ab"/>
    <w:uiPriority w:val="99"/>
    <w:semiHidden/>
    <w:rsid w:val="000647F2"/>
    <w:rPr>
      <w:rFonts w:ascii="Times New Roman" w:eastAsia="Times New Roman" w:hAnsi="Times New Roman" w:cs="Times New Roman"/>
      <w:b/>
      <w:bCs/>
      <w:sz w:val="20"/>
      <w:szCs w:val="20"/>
      <w:lang w:eastAsia="ru-RU"/>
    </w:rPr>
  </w:style>
  <w:style w:type="paragraph" w:styleId="ad">
    <w:name w:val="Normal (Web)"/>
    <w:aliases w:val="Обычный (Web)1,Обычный (Web)11,Обычный (веб) Знак,Обычный (Web) Знак,Обычный (веб) Знак1 Знак1,Обычный (веб) Знак Знак Знак1,Обычный (Web) Знак Знак Знак1"/>
    <w:basedOn w:val="a"/>
    <w:link w:val="11"/>
    <w:rsid w:val="000647F2"/>
    <w:pPr>
      <w:widowControl/>
      <w:tabs>
        <w:tab w:val="num" w:pos="643"/>
        <w:tab w:val="num" w:pos="1211"/>
        <w:tab w:val="num" w:pos="1440"/>
      </w:tabs>
      <w:autoSpaceDE/>
      <w:autoSpaceDN/>
      <w:adjustRightInd/>
      <w:spacing w:before="100" w:beforeAutospacing="1" w:after="100" w:afterAutospacing="1"/>
      <w:ind w:left="643" w:right="40" w:hanging="360"/>
      <w:jc w:val="both"/>
    </w:pPr>
    <w:rPr>
      <w:sz w:val="24"/>
      <w:szCs w:val="24"/>
    </w:rPr>
  </w:style>
  <w:style w:type="character" w:customStyle="1" w:styleId="11">
    <w:name w:val="Обычный (веб) Знак1"/>
    <w:aliases w:val="Обычный (Web)1 Знак,Обычный (Web)11 Знак,Обычный (веб) Знак Знак,Обычный (Web) Знак Знак,Обычный (веб) Знак1 Знак1 Знак,Обычный (веб) Знак Знак Знак1 Знак,Обычный (Web) Знак Знак Знак1 Знак"/>
    <w:link w:val="ad"/>
    <w:locked/>
    <w:rsid w:val="000647F2"/>
    <w:rPr>
      <w:rFonts w:ascii="Times New Roman" w:eastAsia="Times New Roman" w:hAnsi="Times New Roman" w:cs="Times New Roman"/>
      <w:sz w:val="24"/>
      <w:szCs w:val="24"/>
      <w:lang w:eastAsia="ru-RU"/>
    </w:rPr>
  </w:style>
  <w:style w:type="paragraph" w:customStyle="1" w:styleId="ThinDelim">
    <w:name w:val="Thin Delim"/>
    <w:uiPriority w:val="99"/>
    <w:rsid w:val="00434272"/>
    <w:pPr>
      <w:widowControl w:val="0"/>
      <w:autoSpaceDE w:val="0"/>
      <w:autoSpaceDN w:val="0"/>
      <w:adjustRightInd w:val="0"/>
      <w:spacing w:after="0" w:line="240" w:lineRule="auto"/>
    </w:pPr>
    <w:rPr>
      <w:rFonts w:ascii="Times New Roman" w:eastAsia="Times New Roman" w:hAnsi="Times New Roman" w:cs="Times New Roman"/>
      <w:sz w:val="16"/>
      <w:szCs w:val="16"/>
      <w:lang w:eastAsia="ru-RU"/>
    </w:rPr>
  </w:style>
  <w:style w:type="table" w:styleId="ae">
    <w:name w:val="Table Grid"/>
    <w:basedOn w:val="a1"/>
    <w:uiPriority w:val="59"/>
    <w:rsid w:val="004342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ubHeading">
    <w:name w:val="Sub Heading"/>
    <w:uiPriority w:val="99"/>
    <w:rsid w:val="00434272"/>
    <w:pPr>
      <w:widowControl w:val="0"/>
      <w:autoSpaceDE w:val="0"/>
      <w:autoSpaceDN w:val="0"/>
      <w:adjustRightInd w:val="0"/>
      <w:spacing w:before="240" w:after="40" w:line="240" w:lineRule="auto"/>
    </w:pPr>
    <w:rPr>
      <w:rFonts w:ascii="Times New Roman" w:eastAsia="Times New Roman" w:hAnsi="Times New Roman" w:cs="Times New Roman"/>
      <w:sz w:val="20"/>
      <w:szCs w:val="20"/>
      <w:lang w:eastAsia="ru-RU"/>
    </w:rPr>
  </w:style>
  <w:style w:type="paragraph" w:styleId="af">
    <w:name w:val="footnote text"/>
    <w:basedOn w:val="a"/>
    <w:link w:val="af0"/>
    <w:uiPriority w:val="99"/>
    <w:rsid w:val="00626F1B"/>
    <w:pPr>
      <w:widowControl/>
      <w:adjustRightInd/>
      <w:spacing w:before="0" w:after="0"/>
    </w:pPr>
    <w:rPr>
      <w:rFonts w:eastAsiaTheme="minorEastAsia"/>
    </w:rPr>
  </w:style>
  <w:style w:type="character" w:customStyle="1" w:styleId="af0">
    <w:name w:val="Текст сноски Знак"/>
    <w:basedOn w:val="a0"/>
    <w:link w:val="af"/>
    <w:uiPriority w:val="99"/>
    <w:rsid w:val="00626F1B"/>
    <w:rPr>
      <w:rFonts w:ascii="Times New Roman" w:eastAsiaTheme="minorEastAsia" w:hAnsi="Times New Roman" w:cs="Times New Roman"/>
      <w:sz w:val="20"/>
      <w:szCs w:val="20"/>
      <w:lang w:eastAsia="ru-RU"/>
    </w:rPr>
  </w:style>
  <w:style w:type="character" w:styleId="af1">
    <w:name w:val="footnote reference"/>
    <w:basedOn w:val="a0"/>
    <w:uiPriority w:val="99"/>
    <w:rsid w:val="00626F1B"/>
    <w:rPr>
      <w:vertAlign w:val="superscript"/>
    </w:rPr>
  </w:style>
  <w:style w:type="character" w:customStyle="1" w:styleId="apple-converted-space">
    <w:name w:val="apple-converted-space"/>
    <w:basedOn w:val="a0"/>
    <w:rsid w:val="00160384"/>
  </w:style>
  <w:style w:type="paragraph" w:styleId="af2">
    <w:name w:val="Body Text"/>
    <w:basedOn w:val="a"/>
    <w:link w:val="af3"/>
    <w:rsid w:val="003E17E4"/>
    <w:pPr>
      <w:widowControl/>
      <w:autoSpaceDE/>
      <w:autoSpaceDN/>
      <w:adjustRightInd/>
      <w:spacing w:before="0" w:after="0"/>
    </w:pPr>
    <w:rPr>
      <w:sz w:val="22"/>
    </w:rPr>
  </w:style>
  <w:style w:type="character" w:customStyle="1" w:styleId="af3">
    <w:name w:val="Основной текст Знак"/>
    <w:basedOn w:val="a0"/>
    <w:link w:val="af2"/>
    <w:rsid w:val="003E17E4"/>
    <w:rPr>
      <w:rFonts w:ascii="Times New Roman" w:eastAsia="Times New Roman" w:hAnsi="Times New Roman" w:cs="Times New Roman"/>
      <w:szCs w:val="20"/>
      <w:lang w:eastAsia="ru-RU"/>
    </w:rPr>
  </w:style>
  <w:style w:type="paragraph" w:styleId="af4">
    <w:name w:val="Body Text Indent"/>
    <w:basedOn w:val="a"/>
    <w:link w:val="af5"/>
    <w:rsid w:val="003E17E4"/>
    <w:pPr>
      <w:widowControl/>
      <w:autoSpaceDE/>
      <w:autoSpaceDN/>
      <w:adjustRightInd/>
      <w:spacing w:before="0" w:after="0"/>
      <w:ind w:firstLine="720"/>
      <w:jc w:val="both"/>
    </w:pPr>
    <w:rPr>
      <w:sz w:val="22"/>
      <w:lang w:val="x-none" w:eastAsia="x-none"/>
    </w:rPr>
  </w:style>
  <w:style w:type="character" w:customStyle="1" w:styleId="af5">
    <w:name w:val="Основной текст с отступом Знак"/>
    <w:basedOn w:val="a0"/>
    <w:link w:val="af4"/>
    <w:rsid w:val="003E17E4"/>
    <w:rPr>
      <w:rFonts w:ascii="Times New Roman" w:eastAsia="Times New Roman" w:hAnsi="Times New Roman" w:cs="Times New Roman"/>
      <w:szCs w:val="20"/>
      <w:lang w:val="x-none" w:eastAsia="x-none"/>
    </w:rPr>
  </w:style>
  <w:style w:type="paragraph" w:styleId="2">
    <w:name w:val="Body Text Indent 2"/>
    <w:basedOn w:val="a"/>
    <w:link w:val="20"/>
    <w:rsid w:val="003E17E4"/>
    <w:pPr>
      <w:widowControl/>
      <w:autoSpaceDE/>
      <w:autoSpaceDN/>
      <w:adjustRightInd/>
      <w:spacing w:before="0" w:after="0"/>
      <w:ind w:left="720"/>
      <w:jc w:val="both"/>
    </w:pPr>
    <w:rPr>
      <w:sz w:val="22"/>
    </w:rPr>
  </w:style>
  <w:style w:type="character" w:customStyle="1" w:styleId="20">
    <w:name w:val="Основной текст с отступом 2 Знак"/>
    <w:basedOn w:val="a0"/>
    <w:link w:val="2"/>
    <w:rsid w:val="003E17E4"/>
    <w:rPr>
      <w:rFonts w:ascii="Times New Roman" w:eastAsia="Times New Roman" w:hAnsi="Times New Roman" w:cs="Times New Roman"/>
      <w:szCs w:val="20"/>
      <w:lang w:eastAsia="ru-RU"/>
    </w:rPr>
  </w:style>
  <w:style w:type="character" w:styleId="af6">
    <w:name w:val="Emphasis"/>
    <w:uiPriority w:val="20"/>
    <w:qFormat/>
    <w:rsid w:val="003E17E4"/>
    <w:rPr>
      <w:i/>
      <w:iCs/>
    </w:rPr>
  </w:style>
  <w:style w:type="paragraph" w:customStyle="1" w:styleId="ConsNormal">
    <w:name w:val="ConsNormal"/>
    <w:rsid w:val="003E17E4"/>
    <w:pPr>
      <w:widowControl w:val="0"/>
      <w:autoSpaceDE w:val="0"/>
      <w:autoSpaceDN w:val="0"/>
      <w:adjustRightInd w:val="0"/>
      <w:spacing w:after="0" w:line="240" w:lineRule="auto"/>
      <w:ind w:firstLine="720"/>
    </w:pPr>
    <w:rPr>
      <w:rFonts w:ascii="Times New Roman" w:eastAsia="Times New Roman" w:hAnsi="Times New Roman" w:cs="Times New Roman"/>
      <w:sz w:val="20"/>
      <w:szCs w:val="20"/>
      <w:lang w:eastAsia="ru-RU"/>
    </w:rPr>
  </w:style>
  <w:style w:type="paragraph" w:customStyle="1" w:styleId="af7">
    <w:name w:val="ЦАК Партнер"/>
    <w:basedOn w:val="a"/>
    <w:link w:val="af8"/>
    <w:rsid w:val="003E17E4"/>
    <w:pPr>
      <w:widowControl/>
      <w:autoSpaceDE/>
      <w:autoSpaceDN/>
      <w:adjustRightInd/>
      <w:spacing w:before="0" w:after="0"/>
      <w:ind w:firstLine="567"/>
      <w:jc w:val="both"/>
    </w:pPr>
    <w:rPr>
      <w:sz w:val="22"/>
      <w:szCs w:val="22"/>
      <w:lang w:val="x-none" w:eastAsia="x-none"/>
    </w:rPr>
  </w:style>
  <w:style w:type="character" w:customStyle="1" w:styleId="af8">
    <w:name w:val="ЦАК Партнер Знак"/>
    <w:link w:val="af7"/>
    <w:rsid w:val="003E17E4"/>
    <w:rPr>
      <w:rFonts w:ascii="Times New Roman" w:eastAsia="Times New Roman" w:hAnsi="Times New Roman" w:cs="Times New Roman"/>
      <w:lang w:val="x-none" w:eastAsia="x-none"/>
    </w:rPr>
  </w:style>
  <w:style w:type="paragraph" w:customStyle="1" w:styleId="Basic">
    <w:name w:val="Basic"/>
    <w:basedOn w:val="a"/>
    <w:link w:val="BasicChar"/>
    <w:rsid w:val="001459DC"/>
    <w:pPr>
      <w:widowControl/>
      <w:autoSpaceDE/>
      <w:autoSpaceDN/>
      <w:adjustRightInd/>
      <w:spacing w:before="0" w:after="0"/>
      <w:ind w:firstLine="540"/>
      <w:jc w:val="both"/>
    </w:pPr>
    <w:rPr>
      <w:rFonts w:eastAsia="Calibri"/>
      <w:sz w:val="22"/>
      <w:lang w:eastAsia="en-US"/>
    </w:rPr>
  </w:style>
  <w:style w:type="character" w:customStyle="1" w:styleId="BasicChar">
    <w:name w:val="Basic Char"/>
    <w:link w:val="Basic"/>
    <w:locked/>
    <w:rsid w:val="001459DC"/>
    <w:rPr>
      <w:rFonts w:ascii="Times New Roman" w:eastAsia="Calibri" w:hAnsi="Times New Roman" w:cs="Times New Roman"/>
      <w:szCs w:val="20"/>
    </w:rPr>
  </w:style>
  <w:style w:type="paragraph" w:styleId="af9">
    <w:name w:val="header"/>
    <w:basedOn w:val="a"/>
    <w:link w:val="afa"/>
    <w:uiPriority w:val="99"/>
    <w:unhideWhenUsed/>
    <w:rsid w:val="00827421"/>
    <w:pPr>
      <w:tabs>
        <w:tab w:val="center" w:pos="4677"/>
        <w:tab w:val="right" w:pos="9355"/>
      </w:tabs>
      <w:spacing w:before="0" w:after="0"/>
    </w:pPr>
  </w:style>
  <w:style w:type="character" w:customStyle="1" w:styleId="afa">
    <w:name w:val="Верхний колонтитул Знак"/>
    <w:basedOn w:val="a0"/>
    <w:link w:val="af9"/>
    <w:uiPriority w:val="99"/>
    <w:rsid w:val="00827421"/>
    <w:rPr>
      <w:rFonts w:ascii="Times New Roman" w:eastAsia="Times New Roman" w:hAnsi="Times New Roman" w:cs="Times New Roman"/>
      <w:sz w:val="20"/>
      <w:szCs w:val="20"/>
      <w:lang w:eastAsia="ru-RU"/>
    </w:rPr>
  </w:style>
  <w:style w:type="paragraph" w:styleId="afb">
    <w:name w:val="footer"/>
    <w:basedOn w:val="a"/>
    <w:link w:val="afc"/>
    <w:uiPriority w:val="99"/>
    <w:unhideWhenUsed/>
    <w:rsid w:val="00827421"/>
    <w:pPr>
      <w:tabs>
        <w:tab w:val="center" w:pos="4677"/>
        <w:tab w:val="right" w:pos="9355"/>
      </w:tabs>
      <w:spacing w:before="0" w:after="0"/>
    </w:pPr>
  </w:style>
  <w:style w:type="character" w:customStyle="1" w:styleId="afc">
    <w:name w:val="Нижний колонтитул Знак"/>
    <w:basedOn w:val="a0"/>
    <w:link w:val="afb"/>
    <w:uiPriority w:val="99"/>
    <w:rsid w:val="00827421"/>
    <w:rPr>
      <w:rFonts w:ascii="Times New Roman" w:eastAsia="Times New Roman" w:hAnsi="Times New Roman" w:cs="Times New Roman"/>
      <w:sz w:val="20"/>
      <w:szCs w:val="20"/>
      <w:lang w:eastAsia="ru-RU"/>
    </w:rPr>
  </w:style>
  <w:style w:type="character" w:customStyle="1" w:styleId="10">
    <w:name w:val="Заголовок 1 Знак"/>
    <w:basedOn w:val="a0"/>
    <w:link w:val="1"/>
    <w:uiPriority w:val="99"/>
    <w:rsid w:val="00616EF7"/>
    <w:rPr>
      <w:rFonts w:ascii="Arial" w:eastAsia="Calibri" w:hAnsi="Arial" w:cs="Arial"/>
      <w:b/>
      <w:bCs/>
      <w:kern w:val="32"/>
      <w:sz w:val="32"/>
      <w:szCs w:val="32"/>
    </w:rPr>
  </w:style>
  <w:style w:type="character" w:customStyle="1" w:styleId="40">
    <w:name w:val="Заголовок 4 Знак"/>
    <w:basedOn w:val="a0"/>
    <w:link w:val="4"/>
    <w:uiPriority w:val="9"/>
    <w:semiHidden/>
    <w:rsid w:val="00CD1316"/>
    <w:rPr>
      <w:rFonts w:asciiTheme="majorHAnsi" w:eastAsiaTheme="majorEastAsia" w:hAnsiTheme="majorHAnsi" w:cstheme="majorBidi"/>
      <w:b/>
      <w:bCs/>
      <w:i/>
      <w:iCs/>
      <w:color w:val="4F81BD" w:themeColor="accent1"/>
      <w:sz w:val="20"/>
      <w:szCs w:val="20"/>
      <w:lang w:eastAsia="ru-RU"/>
    </w:rPr>
  </w:style>
  <w:style w:type="paragraph" w:styleId="12">
    <w:name w:val="toc 1"/>
    <w:basedOn w:val="a"/>
    <w:next w:val="a"/>
    <w:autoRedefine/>
    <w:uiPriority w:val="39"/>
    <w:unhideWhenUsed/>
    <w:rsid w:val="008B6061"/>
    <w:pPr>
      <w:tabs>
        <w:tab w:val="right" w:leader="dot" w:pos="9345"/>
      </w:tabs>
      <w:spacing w:before="120" w:after="120"/>
      <w:jc w:val="both"/>
    </w:pPr>
    <w:rPr>
      <w:rFonts w:asciiTheme="minorHAnsi" w:hAnsiTheme="minorHAnsi"/>
      <w:b/>
      <w:bCs/>
      <w:caps/>
      <w:noProof/>
    </w:rPr>
  </w:style>
  <w:style w:type="paragraph" w:styleId="21">
    <w:name w:val="toc 2"/>
    <w:basedOn w:val="a"/>
    <w:next w:val="a"/>
    <w:autoRedefine/>
    <w:uiPriority w:val="39"/>
    <w:unhideWhenUsed/>
    <w:rsid w:val="00501E4F"/>
    <w:pPr>
      <w:spacing w:before="0" w:after="0"/>
      <w:ind w:left="200"/>
    </w:pPr>
    <w:rPr>
      <w:rFonts w:asciiTheme="minorHAnsi" w:hAnsiTheme="minorHAnsi"/>
      <w:smallCaps/>
    </w:rPr>
  </w:style>
  <w:style w:type="paragraph" w:styleId="3">
    <w:name w:val="toc 3"/>
    <w:basedOn w:val="a"/>
    <w:next w:val="a"/>
    <w:autoRedefine/>
    <w:uiPriority w:val="39"/>
    <w:unhideWhenUsed/>
    <w:rsid w:val="00501E4F"/>
    <w:pPr>
      <w:spacing w:before="0" w:after="0"/>
      <w:ind w:left="400"/>
    </w:pPr>
    <w:rPr>
      <w:rFonts w:asciiTheme="minorHAnsi" w:hAnsiTheme="minorHAnsi"/>
      <w:i/>
      <w:iCs/>
    </w:rPr>
  </w:style>
  <w:style w:type="paragraph" w:styleId="41">
    <w:name w:val="toc 4"/>
    <w:basedOn w:val="a"/>
    <w:next w:val="a"/>
    <w:autoRedefine/>
    <w:uiPriority w:val="39"/>
    <w:unhideWhenUsed/>
    <w:rsid w:val="00501E4F"/>
    <w:pPr>
      <w:spacing w:before="0" w:after="0"/>
      <w:ind w:left="600"/>
    </w:pPr>
    <w:rPr>
      <w:rFonts w:asciiTheme="minorHAnsi" w:hAnsiTheme="minorHAnsi"/>
      <w:sz w:val="18"/>
      <w:szCs w:val="18"/>
    </w:rPr>
  </w:style>
  <w:style w:type="paragraph" w:styleId="5">
    <w:name w:val="toc 5"/>
    <w:basedOn w:val="a"/>
    <w:next w:val="a"/>
    <w:autoRedefine/>
    <w:uiPriority w:val="39"/>
    <w:unhideWhenUsed/>
    <w:rsid w:val="00501E4F"/>
    <w:pPr>
      <w:spacing w:before="0" w:after="0"/>
      <w:ind w:left="800"/>
    </w:pPr>
    <w:rPr>
      <w:rFonts w:asciiTheme="minorHAnsi" w:hAnsiTheme="minorHAnsi"/>
      <w:sz w:val="18"/>
      <w:szCs w:val="18"/>
    </w:rPr>
  </w:style>
  <w:style w:type="paragraph" w:styleId="6">
    <w:name w:val="toc 6"/>
    <w:basedOn w:val="a"/>
    <w:next w:val="a"/>
    <w:autoRedefine/>
    <w:uiPriority w:val="39"/>
    <w:unhideWhenUsed/>
    <w:rsid w:val="00501E4F"/>
    <w:pPr>
      <w:spacing w:before="0" w:after="0"/>
      <w:ind w:left="1000"/>
    </w:pPr>
    <w:rPr>
      <w:rFonts w:asciiTheme="minorHAnsi" w:hAnsiTheme="minorHAnsi"/>
      <w:sz w:val="18"/>
      <w:szCs w:val="18"/>
    </w:rPr>
  </w:style>
  <w:style w:type="paragraph" w:styleId="7">
    <w:name w:val="toc 7"/>
    <w:basedOn w:val="a"/>
    <w:next w:val="a"/>
    <w:autoRedefine/>
    <w:uiPriority w:val="39"/>
    <w:unhideWhenUsed/>
    <w:rsid w:val="00501E4F"/>
    <w:pPr>
      <w:spacing w:before="0" w:after="0"/>
      <w:ind w:left="1200"/>
    </w:pPr>
    <w:rPr>
      <w:rFonts w:asciiTheme="minorHAnsi" w:hAnsiTheme="minorHAnsi"/>
      <w:sz w:val="18"/>
      <w:szCs w:val="18"/>
    </w:rPr>
  </w:style>
  <w:style w:type="paragraph" w:styleId="8">
    <w:name w:val="toc 8"/>
    <w:basedOn w:val="a"/>
    <w:next w:val="a"/>
    <w:autoRedefine/>
    <w:uiPriority w:val="39"/>
    <w:unhideWhenUsed/>
    <w:rsid w:val="00501E4F"/>
    <w:pPr>
      <w:spacing w:before="0" w:after="0"/>
      <w:ind w:left="1400"/>
    </w:pPr>
    <w:rPr>
      <w:rFonts w:asciiTheme="minorHAnsi" w:hAnsiTheme="minorHAnsi"/>
      <w:sz w:val="18"/>
      <w:szCs w:val="18"/>
    </w:rPr>
  </w:style>
  <w:style w:type="paragraph" w:styleId="9">
    <w:name w:val="toc 9"/>
    <w:basedOn w:val="a"/>
    <w:next w:val="a"/>
    <w:autoRedefine/>
    <w:uiPriority w:val="39"/>
    <w:unhideWhenUsed/>
    <w:rsid w:val="00501E4F"/>
    <w:pPr>
      <w:spacing w:before="0" w:after="0"/>
      <w:ind w:left="1600"/>
    </w:pPr>
    <w:rPr>
      <w:rFonts w:asciiTheme="minorHAnsi" w:hAnsiTheme="minorHAns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0AC2"/>
    <w:pPr>
      <w:widowControl w:val="0"/>
      <w:autoSpaceDE w:val="0"/>
      <w:autoSpaceDN w:val="0"/>
      <w:adjustRightInd w:val="0"/>
      <w:spacing w:before="20" w:after="4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616EF7"/>
    <w:pPr>
      <w:keepNext/>
      <w:widowControl/>
      <w:autoSpaceDE/>
      <w:autoSpaceDN/>
      <w:adjustRightInd/>
      <w:spacing w:before="240" w:after="60"/>
      <w:outlineLvl w:val="0"/>
    </w:pPr>
    <w:rPr>
      <w:rFonts w:ascii="Arial" w:eastAsia="Calibri" w:hAnsi="Arial" w:cs="Arial"/>
      <w:b/>
      <w:bCs/>
      <w:kern w:val="32"/>
      <w:sz w:val="32"/>
      <w:szCs w:val="32"/>
      <w:lang w:eastAsia="en-US"/>
    </w:rPr>
  </w:style>
  <w:style w:type="paragraph" w:styleId="4">
    <w:name w:val="heading 4"/>
    <w:basedOn w:val="a"/>
    <w:next w:val="a"/>
    <w:link w:val="40"/>
    <w:uiPriority w:val="9"/>
    <w:semiHidden/>
    <w:unhideWhenUsed/>
    <w:qFormat/>
    <w:rsid w:val="00CD131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nhideWhenUsed/>
    <w:rsid w:val="005E0AC2"/>
  </w:style>
  <w:style w:type="character" w:customStyle="1" w:styleId="a4">
    <w:name w:val="Текст примечания Знак"/>
    <w:basedOn w:val="a0"/>
    <w:link w:val="a3"/>
    <w:rsid w:val="005E0AC2"/>
    <w:rPr>
      <w:rFonts w:ascii="Times New Roman" w:eastAsia="Times New Roman" w:hAnsi="Times New Roman" w:cs="Times New Roman"/>
      <w:sz w:val="20"/>
      <w:szCs w:val="20"/>
      <w:lang w:eastAsia="ru-RU"/>
    </w:rPr>
  </w:style>
  <w:style w:type="paragraph" w:customStyle="1" w:styleId="Default">
    <w:name w:val="Default"/>
    <w:rsid w:val="005E0AC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onsPlusNormal">
    <w:name w:val="ConsPlusNormal"/>
    <w:rsid w:val="005E0AC2"/>
    <w:pPr>
      <w:autoSpaceDE w:val="0"/>
      <w:autoSpaceDN w:val="0"/>
      <w:adjustRightInd w:val="0"/>
      <w:spacing w:after="0" w:line="240" w:lineRule="auto"/>
    </w:pPr>
    <w:rPr>
      <w:rFonts w:ascii="Arial" w:hAnsi="Arial" w:cs="Arial"/>
      <w:sz w:val="20"/>
      <w:szCs w:val="20"/>
    </w:rPr>
  </w:style>
  <w:style w:type="character" w:styleId="a5">
    <w:name w:val="annotation reference"/>
    <w:basedOn w:val="a0"/>
    <w:uiPriority w:val="99"/>
    <w:unhideWhenUsed/>
    <w:rsid w:val="005E0AC2"/>
    <w:rPr>
      <w:sz w:val="16"/>
      <w:szCs w:val="16"/>
    </w:rPr>
  </w:style>
  <w:style w:type="character" w:customStyle="1" w:styleId="Subst">
    <w:name w:val="Subst"/>
    <w:uiPriority w:val="99"/>
    <w:rsid w:val="005E0AC2"/>
    <w:rPr>
      <w:b/>
      <w:bCs w:val="0"/>
      <w:i/>
      <w:iCs w:val="0"/>
    </w:rPr>
  </w:style>
  <w:style w:type="character" w:styleId="a6">
    <w:name w:val="Strong"/>
    <w:basedOn w:val="a0"/>
    <w:uiPriority w:val="22"/>
    <w:qFormat/>
    <w:rsid w:val="005E0AC2"/>
    <w:rPr>
      <w:b/>
      <w:bCs/>
    </w:rPr>
  </w:style>
  <w:style w:type="paragraph" w:styleId="a7">
    <w:name w:val="Balloon Text"/>
    <w:basedOn w:val="a"/>
    <w:link w:val="a8"/>
    <w:uiPriority w:val="99"/>
    <w:semiHidden/>
    <w:unhideWhenUsed/>
    <w:rsid w:val="005E0AC2"/>
    <w:pPr>
      <w:spacing w:before="0" w:after="0"/>
    </w:pPr>
    <w:rPr>
      <w:rFonts w:ascii="Tahoma" w:hAnsi="Tahoma" w:cs="Tahoma"/>
      <w:sz w:val="16"/>
      <w:szCs w:val="16"/>
    </w:rPr>
  </w:style>
  <w:style w:type="character" w:customStyle="1" w:styleId="a8">
    <w:name w:val="Текст выноски Знак"/>
    <w:basedOn w:val="a0"/>
    <w:link w:val="a7"/>
    <w:uiPriority w:val="99"/>
    <w:semiHidden/>
    <w:rsid w:val="005E0AC2"/>
    <w:rPr>
      <w:rFonts w:ascii="Tahoma" w:eastAsia="Times New Roman" w:hAnsi="Tahoma" w:cs="Tahoma"/>
      <w:sz w:val="16"/>
      <w:szCs w:val="16"/>
      <w:lang w:eastAsia="ru-RU"/>
    </w:rPr>
  </w:style>
  <w:style w:type="paragraph" w:styleId="a9">
    <w:name w:val="List Paragraph"/>
    <w:basedOn w:val="a"/>
    <w:qFormat/>
    <w:rsid w:val="000647F2"/>
    <w:pPr>
      <w:ind w:left="720"/>
      <w:contextualSpacing/>
    </w:pPr>
  </w:style>
  <w:style w:type="character" w:styleId="aa">
    <w:name w:val="Hyperlink"/>
    <w:basedOn w:val="a0"/>
    <w:uiPriority w:val="99"/>
    <w:unhideWhenUsed/>
    <w:rsid w:val="000647F2"/>
    <w:rPr>
      <w:color w:val="0000FF"/>
      <w:u w:val="single"/>
    </w:rPr>
  </w:style>
  <w:style w:type="paragraph" w:styleId="ab">
    <w:name w:val="annotation subject"/>
    <w:basedOn w:val="a3"/>
    <w:next w:val="a3"/>
    <w:link w:val="ac"/>
    <w:uiPriority w:val="99"/>
    <w:semiHidden/>
    <w:unhideWhenUsed/>
    <w:rsid w:val="000647F2"/>
    <w:rPr>
      <w:b/>
      <w:bCs/>
    </w:rPr>
  </w:style>
  <w:style w:type="character" w:customStyle="1" w:styleId="ac">
    <w:name w:val="Тема примечания Знак"/>
    <w:basedOn w:val="a4"/>
    <w:link w:val="ab"/>
    <w:uiPriority w:val="99"/>
    <w:semiHidden/>
    <w:rsid w:val="000647F2"/>
    <w:rPr>
      <w:rFonts w:ascii="Times New Roman" w:eastAsia="Times New Roman" w:hAnsi="Times New Roman" w:cs="Times New Roman"/>
      <w:b/>
      <w:bCs/>
      <w:sz w:val="20"/>
      <w:szCs w:val="20"/>
      <w:lang w:eastAsia="ru-RU"/>
    </w:rPr>
  </w:style>
  <w:style w:type="paragraph" w:styleId="ad">
    <w:name w:val="Normal (Web)"/>
    <w:aliases w:val="Обычный (Web)1,Обычный (Web)11,Обычный (веб) Знак,Обычный (Web) Знак,Обычный (веб) Знак1 Знак1,Обычный (веб) Знак Знак Знак1,Обычный (Web) Знак Знак Знак1"/>
    <w:basedOn w:val="a"/>
    <w:link w:val="11"/>
    <w:rsid w:val="000647F2"/>
    <w:pPr>
      <w:widowControl/>
      <w:tabs>
        <w:tab w:val="num" w:pos="643"/>
        <w:tab w:val="num" w:pos="1211"/>
        <w:tab w:val="num" w:pos="1440"/>
      </w:tabs>
      <w:autoSpaceDE/>
      <w:autoSpaceDN/>
      <w:adjustRightInd/>
      <w:spacing w:before="100" w:beforeAutospacing="1" w:after="100" w:afterAutospacing="1"/>
      <w:ind w:left="643" w:right="40" w:hanging="360"/>
      <w:jc w:val="both"/>
    </w:pPr>
    <w:rPr>
      <w:sz w:val="24"/>
      <w:szCs w:val="24"/>
    </w:rPr>
  </w:style>
  <w:style w:type="character" w:customStyle="1" w:styleId="11">
    <w:name w:val="Обычный (веб) Знак1"/>
    <w:aliases w:val="Обычный (Web)1 Знак,Обычный (Web)11 Знак,Обычный (веб) Знак Знак,Обычный (Web) Знак Знак,Обычный (веб) Знак1 Знак1 Знак,Обычный (веб) Знак Знак Знак1 Знак,Обычный (Web) Знак Знак Знак1 Знак"/>
    <w:link w:val="ad"/>
    <w:locked/>
    <w:rsid w:val="000647F2"/>
    <w:rPr>
      <w:rFonts w:ascii="Times New Roman" w:eastAsia="Times New Roman" w:hAnsi="Times New Roman" w:cs="Times New Roman"/>
      <w:sz w:val="24"/>
      <w:szCs w:val="24"/>
      <w:lang w:eastAsia="ru-RU"/>
    </w:rPr>
  </w:style>
  <w:style w:type="paragraph" w:customStyle="1" w:styleId="ThinDelim">
    <w:name w:val="Thin Delim"/>
    <w:uiPriority w:val="99"/>
    <w:rsid w:val="00434272"/>
    <w:pPr>
      <w:widowControl w:val="0"/>
      <w:autoSpaceDE w:val="0"/>
      <w:autoSpaceDN w:val="0"/>
      <w:adjustRightInd w:val="0"/>
      <w:spacing w:after="0" w:line="240" w:lineRule="auto"/>
    </w:pPr>
    <w:rPr>
      <w:rFonts w:ascii="Times New Roman" w:eastAsia="Times New Roman" w:hAnsi="Times New Roman" w:cs="Times New Roman"/>
      <w:sz w:val="16"/>
      <w:szCs w:val="16"/>
      <w:lang w:eastAsia="ru-RU"/>
    </w:rPr>
  </w:style>
  <w:style w:type="table" w:styleId="ae">
    <w:name w:val="Table Grid"/>
    <w:basedOn w:val="a1"/>
    <w:uiPriority w:val="59"/>
    <w:rsid w:val="004342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ubHeading">
    <w:name w:val="Sub Heading"/>
    <w:uiPriority w:val="99"/>
    <w:rsid w:val="00434272"/>
    <w:pPr>
      <w:widowControl w:val="0"/>
      <w:autoSpaceDE w:val="0"/>
      <w:autoSpaceDN w:val="0"/>
      <w:adjustRightInd w:val="0"/>
      <w:spacing w:before="240" w:after="40" w:line="240" w:lineRule="auto"/>
    </w:pPr>
    <w:rPr>
      <w:rFonts w:ascii="Times New Roman" w:eastAsia="Times New Roman" w:hAnsi="Times New Roman" w:cs="Times New Roman"/>
      <w:sz w:val="20"/>
      <w:szCs w:val="20"/>
      <w:lang w:eastAsia="ru-RU"/>
    </w:rPr>
  </w:style>
  <w:style w:type="paragraph" w:styleId="af">
    <w:name w:val="footnote text"/>
    <w:basedOn w:val="a"/>
    <w:link w:val="af0"/>
    <w:uiPriority w:val="99"/>
    <w:rsid w:val="00626F1B"/>
    <w:pPr>
      <w:widowControl/>
      <w:adjustRightInd/>
      <w:spacing w:before="0" w:after="0"/>
    </w:pPr>
    <w:rPr>
      <w:rFonts w:eastAsiaTheme="minorEastAsia"/>
    </w:rPr>
  </w:style>
  <w:style w:type="character" w:customStyle="1" w:styleId="af0">
    <w:name w:val="Текст сноски Знак"/>
    <w:basedOn w:val="a0"/>
    <w:link w:val="af"/>
    <w:uiPriority w:val="99"/>
    <w:rsid w:val="00626F1B"/>
    <w:rPr>
      <w:rFonts w:ascii="Times New Roman" w:eastAsiaTheme="minorEastAsia" w:hAnsi="Times New Roman" w:cs="Times New Roman"/>
      <w:sz w:val="20"/>
      <w:szCs w:val="20"/>
      <w:lang w:eastAsia="ru-RU"/>
    </w:rPr>
  </w:style>
  <w:style w:type="character" w:styleId="af1">
    <w:name w:val="footnote reference"/>
    <w:basedOn w:val="a0"/>
    <w:uiPriority w:val="99"/>
    <w:rsid w:val="00626F1B"/>
    <w:rPr>
      <w:vertAlign w:val="superscript"/>
    </w:rPr>
  </w:style>
  <w:style w:type="character" w:customStyle="1" w:styleId="apple-converted-space">
    <w:name w:val="apple-converted-space"/>
    <w:basedOn w:val="a0"/>
    <w:rsid w:val="00160384"/>
  </w:style>
  <w:style w:type="paragraph" w:styleId="af2">
    <w:name w:val="Body Text"/>
    <w:basedOn w:val="a"/>
    <w:link w:val="af3"/>
    <w:rsid w:val="003E17E4"/>
    <w:pPr>
      <w:widowControl/>
      <w:autoSpaceDE/>
      <w:autoSpaceDN/>
      <w:adjustRightInd/>
      <w:spacing w:before="0" w:after="0"/>
    </w:pPr>
    <w:rPr>
      <w:sz w:val="22"/>
    </w:rPr>
  </w:style>
  <w:style w:type="character" w:customStyle="1" w:styleId="af3">
    <w:name w:val="Основной текст Знак"/>
    <w:basedOn w:val="a0"/>
    <w:link w:val="af2"/>
    <w:rsid w:val="003E17E4"/>
    <w:rPr>
      <w:rFonts w:ascii="Times New Roman" w:eastAsia="Times New Roman" w:hAnsi="Times New Roman" w:cs="Times New Roman"/>
      <w:szCs w:val="20"/>
      <w:lang w:eastAsia="ru-RU"/>
    </w:rPr>
  </w:style>
  <w:style w:type="paragraph" w:styleId="af4">
    <w:name w:val="Body Text Indent"/>
    <w:basedOn w:val="a"/>
    <w:link w:val="af5"/>
    <w:rsid w:val="003E17E4"/>
    <w:pPr>
      <w:widowControl/>
      <w:autoSpaceDE/>
      <w:autoSpaceDN/>
      <w:adjustRightInd/>
      <w:spacing w:before="0" w:after="0"/>
      <w:ind w:firstLine="720"/>
      <w:jc w:val="both"/>
    </w:pPr>
    <w:rPr>
      <w:sz w:val="22"/>
      <w:lang w:val="x-none" w:eastAsia="x-none"/>
    </w:rPr>
  </w:style>
  <w:style w:type="character" w:customStyle="1" w:styleId="af5">
    <w:name w:val="Основной текст с отступом Знак"/>
    <w:basedOn w:val="a0"/>
    <w:link w:val="af4"/>
    <w:rsid w:val="003E17E4"/>
    <w:rPr>
      <w:rFonts w:ascii="Times New Roman" w:eastAsia="Times New Roman" w:hAnsi="Times New Roman" w:cs="Times New Roman"/>
      <w:szCs w:val="20"/>
      <w:lang w:val="x-none" w:eastAsia="x-none"/>
    </w:rPr>
  </w:style>
  <w:style w:type="paragraph" w:styleId="2">
    <w:name w:val="Body Text Indent 2"/>
    <w:basedOn w:val="a"/>
    <w:link w:val="20"/>
    <w:rsid w:val="003E17E4"/>
    <w:pPr>
      <w:widowControl/>
      <w:autoSpaceDE/>
      <w:autoSpaceDN/>
      <w:adjustRightInd/>
      <w:spacing w:before="0" w:after="0"/>
      <w:ind w:left="720"/>
      <w:jc w:val="both"/>
    </w:pPr>
    <w:rPr>
      <w:sz w:val="22"/>
    </w:rPr>
  </w:style>
  <w:style w:type="character" w:customStyle="1" w:styleId="20">
    <w:name w:val="Основной текст с отступом 2 Знак"/>
    <w:basedOn w:val="a0"/>
    <w:link w:val="2"/>
    <w:rsid w:val="003E17E4"/>
    <w:rPr>
      <w:rFonts w:ascii="Times New Roman" w:eastAsia="Times New Roman" w:hAnsi="Times New Roman" w:cs="Times New Roman"/>
      <w:szCs w:val="20"/>
      <w:lang w:eastAsia="ru-RU"/>
    </w:rPr>
  </w:style>
  <w:style w:type="character" w:styleId="af6">
    <w:name w:val="Emphasis"/>
    <w:uiPriority w:val="20"/>
    <w:qFormat/>
    <w:rsid w:val="003E17E4"/>
    <w:rPr>
      <w:i/>
      <w:iCs/>
    </w:rPr>
  </w:style>
  <w:style w:type="paragraph" w:customStyle="1" w:styleId="ConsNormal">
    <w:name w:val="ConsNormal"/>
    <w:rsid w:val="003E17E4"/>
    <w:pPr>
      <w:widowControl w:val="0"/>
      <w:autoSpaceDE w:val="0"/>
      <w:autoSpaceDN w:val="0"/>
      <w:adjustRightInd w:val="0"/>
      <w:spacing w:after="0" w:line="240" w:lineRule="auto"/>
      <w:ind w:firstLine="720"/>
    </w:pPr>
    <w:rPr>
      <w:rFonts w:ascii="Times New Roman" w:eastAsia="Times New Roman" w:hAnsi="Times New Roman" w:cs="Times New Roman"/>
      <w:sz w:val="20"/>
      <w:szCs w:val="20"/>
      <w:lang w:eastAsia="ru-RU"/>
    </w:rPr>
  </w:style>
  <w:style w:type="paragraph" w:customStyle="1" w:styleId="af7">
    <w:name w:val="ЦАК Партнер"/>
    <w:basedOn w:val="a"/>
    <w:link w:val="af8"/>
    <w:rsid w:val="003E17E4"/>
    <w:pPr>
      <w:widowControl/>
      <w:autoSpaceDE/>
      <w:autoSpaceDN/>
      <w:adjustRightInd/>
      <w:spacing w:before="0" w:after="0"/>
      <w:ind w:firstLine="567"/>
      <w:jc w:val="both"/>
    </w:pPr>
    <w:rPr>
      <w:sz w:val="22"/>
      <w:szCs w:val="22"/>
      <w:lang w:val="x-none" w:eastAsia="x-none"/>
    </w:rPr>
  </w:style>
  <w:style w:type="character" w:customStyle="1" w:styleId="af8">
    <w:name w:val="ЦАК Партнер Знак"/>
    <w:link w:val="af7"/>
    <w:rsid w:val="003E17E4"/>
    <w:rPr>
      <w:rFonts w:ascii="Times New Roman" w:eastAsia="Times New Roman" w:hAnsi="Times New Roman" w:cs="Times New Roman"/>
      <w:lang w:val="x-none" w:eastAsia="x-none"/>
    </w:rPr>
  </w:style>
  <w:style w:type="paragraph" w:customStyle="1" w:styleId="Basic">
    <w:name w:val="Basic"/>
    <w:basedOn w:val="a"/>
    <w:link w:val="BasicChar"/>
    <w:rsid w:val="001459DC"/>
    <w:pPr>
      <w:widowControl/>
      <w:autoSpaceDE/>
      <w:autoSpaceDN/>
      <w:adjustRightInd/>
      <w:spacing w:before="0" w:after="0"/>
      <w:ind w:firstLine="540"/>
      <w:jc w:val="both"/>
    </w:pPr>
    <w:rPr>
      <w:rFonts w:eastAsia="Calibri"/>
      <w:sz w:val="22"/>
      <w:lang w:eastAsia="en-US"/>
    </w:rPr>
  </w:style>
  <w:style w:type="character" w:customStyle="1" w:styleId="BasicChar">
    <w:name w:val="Basic Char"/>
    <w:link w:val="Basic"/>
    <w:locked/>
    <w:rsid w:val="001459DC"/>
    <w:rPr>
      <w:rFonts w:ascii="Times New Roman" w:eastAsia="Calibri" w:hAnsi="Times New Roman" w:cs="Times New Roman"/>
      <w:szCs w:val="20"/>
    </w:rPr>
  </w:style>
  <w:style w:type="paragraph" w:styleId="af9">
    <w:name w:val="header"/>
    <w:basedOn w:val="a"/>
    <w:link w:val="afa"/>
    <w:uiPriority w:val="99"/>
    <w:unhideWhenUsed/>
    <w:rsid w:val="00827421"/>
    <w:pPr>
      <w:tabs>
        <w:tab w:val="center" w:pos="4677"/>
        <w:tab w:val="right" w:pos="9355"/>
      </w:tabs>
      <w:spacing w:before="0" w:after="0"/>
    </w:pPr>
  </w:style>
  <w:style w:type="character" w:customStyle="1" w:styleId="afa">
    <w:name w:val="Верхний колонтитул Знак"/>
    <w:basedOn w:val="a0"/>
    <w:link w:val="af9"/>
    <w:uiPriority w:val="99"/>
    <w:rsid w:val="00827421"/>
    <w:rPr>
      <w:rFonts w:ascii="Times New Roman" w:eastAsia="Times New Roman" w:hAnsi="Times New Roman" w:cs="Times New Roman"/>
      <w:sz w:val="20"/>
      <w:szCs w:val="20"/>
      <w:lang w:eastAsia="ru-RU"/>
    </w:rPr>
  </w:style>
  <w:style w:type="paragraph" w:styleId="afb">
    <w:name w:val="footer"/>
    <w:basedOn w:val="a"/>
    <w:link w:val="afc"/>
    <w:uiPriority w:val="99"/>
    <w:unhideWhenUsed/>
    <w:rsid w:val="00827421"/>
    <w:pPr>
      <w:tabs>
        <w:tab w:val="center" w:pos="4677"/>
        <w:tab w:val="right" w:pos="9355"/>
      </w:tabs>
      <w:spacing w:before="0" w:after="0"/>
    </w:pPr>
  </w:style>
  <w:style w:type="character" w:customStyle="1" w:styleId="afc">
    <w:name w:val="Нижний колонтитул Знак"/>
    <w:basedOn w:val="a0"/>
    <w:link w:val="afb"/>
    <w:uiPriority w:val="99"/>
    <w:rsid w:val="00827421"/>
    <w:rPr>
      <w:rFonts w:ascii="Times New Roman" w:eastAsia="Times New Roman" w:hAnsi="Times New Roman" w:cs="Times New Roman"/>
      <w:sz w:val="20"/>
      <w:szCs w:val="20"/>
      <w:lang w:eastAsia="ru-RU"/>
    </w:rPr>
  </w:style>
  <w:style w:type="character" w:customStyle="1" w:styleId="10">
    <w:name w:val="Заголовок 1 Знак"/>
    <w:basedOn w:val="a0"/>
    <w:link w:val="1"/>
    <w:uiPriority w:val="99"/>
    <w:rsid w:val="00616EF7"/>
    <w:rPr>
      <w:rFonts w:ascii="Arial" w:eastAsia="Calibri" w:hAnsi="Arial" w:cs="Arial"/>
      <w:b/>
      <w:bCs/>
      <w:kern w:val="32"/>
      <w:sz w:val="32"/>
      <w:szCs w:val="32"/>
    </w:rPr>
  </w:style>
  <w:style w:type="character" w:customStyle="1" w:styleId="40">
    <w:name w:val="Заголовок 4 Знак"/>
    <w:basedOn w:val="a0"/>
    <w:link w:val="4"/>
    <w:uiPriority w:val="9"/>
    <w:semiHidden/>
    <w:rsid w:val="00CD1316"/>
    <w:rPr>
      <w:rFonts w:asciiTheme="majorHAnsi" w:eastAsiaTheme="majorEastAsia" w:hAnsiTheme="majorHAnsi" w:cstheme="majorBidi"/>
      <w:b/>
      <w:bCs/>
      <w:i/>
      <w:iCs/>
      <w:color w:val="4F81BD" w:themeColor="accent1"/>
      <w:sz w:val="20"/>
      <w:szCs w:val="20"/>
      <w:lang w:eastAsia="ru-RU"/>
    </w:rPr>
  </w:style>
  <w:style w:type="paragraph" w:styleId="12">
    <w:name w:val="toc 1"/>
    <w:basedOn w:val="a"/>
    <w:next w:val="a"/>
    <w:autoRedefine/>
    <w:uiPriority w:val="39"/>
    <w:unhideWhenUsed/>
    <w:rsid w:val="008B6061"/>
    <w:pPr>
      <w:tabs>
        <w:tab w:val="right" w:leader="dot" w:pos="9345"/>
      </w:tabs>
      <w:spacing w:before="120" w:after="120"/>
      <w:jc w:val="both"/>
    </w:pPr>
    <w:rPr>
      <w:rFonts w:asciiTheme="minorHAnsi" w:hAnsiTheme="minorHAnsi"/>
      <w:b/>
      <w:bCs/>
      <w:caps/>
      <w:noProof/>
    </w:rPr>
  </w:style>
  <w:style w:type="paragraph" w:styleId="21">
    <w:name w:val="toc 2"/>
    <w:basedOn w:val="a"/>
    <w:next w:val="a"/>
    <w:autoRedefine/>
    <w:uiPriority w:val="39"/>
    <w:unhideWhenUsed/>
    <w:rsid w:val="00501E4F"/>
    <w:pPr>
      <w:spacing w:before="0" w:after="0"/>
      <w:ind w:left="200"/>
    </w:pPr>
    <w:rPr>
      <w:rFonts w:asciiTheme="minorHAnsi" w:hAnsiTheme="minorHAnsi"/>
      <w:smallCaps/>
    </w:rPr>
  </w:style>
  <w:style w:type="paragraph" w:styleId="3">
    <w:name w:val="toc 3"/>
    <w:basedOn w:val="a"/>
    <w:next w:val="a"/>
    <w:autoRedefine/>
    <w:uiPriority w:val="39"/>
    <w:unhideWhenUsed/>
    <w:rsid w:val="00501E4F"/>
    <w:pPr>
      <w:spacing w:before="0" w:after="0"/>
      <w:ind w:left="400"/>
    </w:pPr>
    <w:rPr>
      <w:rFonts w:asciiTheme="minorHAnsi" w:hAnsiTheme="minorHAnsi"/>
      <w:i/>
      <w:iCs/>
    </w:rPr>
  </w:style>
  <w:style w:type="paragraph" w:styleId="41">
    <w:name w:val="toc 4"/>
    <w:basedOn w:val="a"/>
    <w:next w:val="a"/>
    <w:autoRedefine/>
    <w:uiPriority w:val="39"/>
    <w:unhideWhenUsed/>
    <w:rsid w:val="00501E4F"/>
    <w:pPr>
      <w:spacing w:before="0" w:after="0"/>
      <w:ind w:left="600"/>
    </w:pPr>
    <w:rPr>
      <w:rFonts w:asciiTheme="minorHAnsi" w:hAnsiTheme="minorHAnsi"/>
      <w:sz w:val="18"/>
      <w:szCs w:val="18"/>
    </w:rPr>
  </w:style>
  <w:style w:type="paragraph" w:styleId="5">
    <w:name w:val="toc 5"/>
    <w:basedOn w:val="a"/>
    <w:next w:val="a"/>
    <w:autoRedefine/>
    <w:uiPriority w:val="39"/>
    <w:unhideWhenUsed/>
    <w:rsid w:val="00501E4F"/>
    <w:pPr>
      <w:spacing w:before="0" w:after="0"/>
      <w:ind w:left="800"/>
    </w:pPr>
    <w:rPr>
      <w:rFonts w:asciiTheme="minorHAnsi" w:hAnsiTheme="minorHAnsi"/>
      <w:sz w:val="18"/>
      <w:szCs w:val="18"/>
    </w:rPr>
  </w:style>
  <w:style w:type="paragraph" w:styleId="6">
    <w:name w:val="toc 6"/>
    <w:basedOn w:val="a"/>
    <w:next w:val="a"/>
    <w:autoRedefine/>
    <w:uiPriority w:val="39"/>
    <w:unhideWhenUsed/>
    <w:rsid w:val="00501E4F"/>
    <w:pPr>
      <w:spacing w:before="0" w:after="0"/>
      <w:ind w:left="1000"/>
    </w:pPr>
    <w:rPr>
      <w:rFonts w:asciiTheme="minorHAnsi" w:hAnsiTheme="minorHAnsi"/>
      <w:sz w:val="18"/>
      <w:szCs w:val="18"/>
    </w:rPr>
  </w:style>
  <w:style w:type="paragraph" w:styleId="7">
    <w:name w:val="toc 7"/>
    <w:basedOn w:val="a"/>
    <w:next w:val="a"/>
    <w:autoRedefine/>
    <w:uiPriority w:val="39"/>
    <w:unhideWhenUsed/>
    <w:rsid w:val="00501E4F"/>
    <w:pPr>
      <w:spacing w:before="0" w:after="0"/>
      <w:ind w:left="1200"/>
    </w:pPr>
    <w:rPr>
      <w:rFonts w:asciiTheme="minorHAnsi" w:hAnsiTheme="minorHAnsi"/>
      <w:sz w:val="18"/>
      <w:szCs w:val="18"/>
    </w:rPr>
  </w:style>
  <w:style w:type="paragraph" w:styleId="8">
    <w:name w:val="toc 8"/>
    <w:basedOn w:val="a"/>
    <w:next w:val="a"/>
    <w:autoRedefine/>
    <w:uiPriority w:val="39"/>
    <w:unhideWhenUsed/>
    <w:rsid w:val="00501E4F"/>
    <w:pPr>
      <w:spacing w:before="0" w:after="0"/>
      <w:ind w:left="1400"/>
    </w:pPr>
    <w:rPr>
      <w:rFonts w:asciiTheme="minorHAnsi" w:hAnsiTheme="minorHAnsi"/>
      <w:sz w:val="18"/>
      <w:szCs w:val="18"/>
    </w:rPr>
  </w:style>
  <w:style w:type="paragraph" w:styleId="9">
    <w:name w:val="toc 9"/>
    <w:basedOn w:val="a"/>
    <w:next w:val="a"/>
    <w:autoRedefine/>
    <w:uiPriority w:val="39"/>
    <w:unhideWhenUsed/>
    <w:rsid w:val="00501E4F"/>
    <w:pPr>
      <w:spacing w:before="0" w:after="0"/>
      <w:ind w:left="1600"/>
    </w:pPr>
    <w:rPr>
      <w:rFonts w:asciiTheme="minorHAnsi" w:hAnsi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835543">
      <w:bodyDiv w:val="1"/>
      <w:marLeft w:val="0"/>
      <w:marRight w:val="0"/>
      <w:marTop w:val="0"/>
      <w:marBottom w:val="0"/>
      <w:divBdr>
        <w:top w:val="none" w:sz="0" w:space="0" w:color="auto"/>
        <w:left w:val="none" w:sz="0" w:space="0" w:color="auto"/>
        <w:bottom w:val="none" w:sz="0" w:space="0" w:color="auto"/>
        <w:right w:val="none" w:sz="0" w:space="0" w:color="auto"/>
      </w:divBdr>
    </w:div>
    <w:div w:id="181094692">
      <w:bodyDiv w:val="1"/>
      <w:marLeft w:val="0"/>
      <w:marRight w:val="0"/>
      <w:marTop w:val="0"/>
      <w:marBottom w:val="0"/>
      <w:divBdr>
        <w:top w:val="none" w:sz="0" w:space="0" w:color="auto"/>
        <w:left w:val="none" w:sz="0" w:space="0" w:color="auto"/>
        <w:bottom w:val="none" w:sz="0" w:space="0" w:color="auto"/>
        <w:right w:val="none" w:sz="0" w:space="0" w:color="auto"/>
      </w:divBdr>
    </w:div>
    <w:div w:id="274560027">
      <w:bodyDiv w:val="1"/>
      <w:marLeft w:val="0"/>
      <w:marRight w:val="0"/>
      <w:marTop w:val="0"/>
      <w:marBottom w:val="0"/>
      <w:divBdr>
        <w:top w:val="none" w:sz="0" w:space="0" w:color="auto"/>
        <w:left w:val="none" w:sz="0" w:space="0" w:color="auto"/>
        <w:bottom w:val="none" w:sz="0" w:space="0" w:color="auto"/>
        <w:right w:val="none" w:sz="0" w:space="0" w:color="auto"/>
      </w:divBdr>
    </w:div>
    <w:div w:id="286741245">
      <w:bodyDiv w:val="1"/>
      <w:marLeft w:val="0"/>
      <w:marRight w:val="0"/>
      <w:marTop w:val="0"/>
      <w:marBottom w:val="0"/>
      <w:divBdr>
        <w:top w:val="none" w:sz="0" w:space="0" w:color="auto"/>
        <w:left w:val="none" w:sz="0" w:space="0" w:color="auto"/>
        <w:bottom w:val="none" w:sz="0" w:space="0" w:color="auto"/>
        <w:right w:val="none" w:sz="0" w:space="0" w:color="auto"/>
      </w:divBdr>
    </w:div>
    <w:div w:id="346178333">
      <w:bodyDiv w:val="1"/>
      <w:marLeft w:val="0"/>
      <w:marRight w:val="0"/>
      <w:marTop w:val="0"/>
      <w:marBottom w:val="0"/>
      <w:divBdr>
        <w:top w:val="none" w:sz="0" w:space="0" w:color="auto"/>
        <w:left w:val="none" w:sz="0" w:space="0" w:color="auto"/>
        <w:bottom w:val="none" w:sz="0" w:space="0" w:color="auto"/>
        <w:right w:val="none" w:sz="0" w:space="0" w:color="auto"/>
      </w:divBdr>
    </w:div>
    <w:div w:id="475295415">
      <w:bodyDiv w:val="1"/>
      <w:marLeft w:val="0"/>
      <w:marRight w:val="0"/>
      <w:marTop w:val="0"/>
      <w:marBottom w:val="0"/>
      <w:divBdr>
        <w:top w:val="none" w:sz="0" w:space="0" w:color="auto"/>
        <w:left w:val="none" w:sz="0" w:space="0" w:color="auto"/>
        <w:bottom w:val="none" w:sz="0" w:space="0" w:color="auto"/>
        <w:right w:val="none" w:sz="0" w:space="0" w:color="auto"/>
      </w:divBdr>
    </w:div>
    <w:div w:id="477185442">
      <w:bodyDiv w:val="1"/>
      <w:marLeft w:val="0"/>
      <w:marRight w:val="0"/>
      <w:marTop w:val="0"/>
      <w:marBottom w:val="0"/>
      <w:divBdr>
        <w:top w:val="none" w:sz="0" w:space="0" w:color="auto"/>
        <w:left w:val="none" w:sz="0" w:space="0" w:color="auto"/>
        <w:bottom w:val="none" w:sz="0" w:space="0" w:color="auto"/>
        <w:right w:val="none" w:sz="0" w:space="0" w:color="auto"/>
      </w:divBdr>
    </w:div>
    <w:div w:id="660351410">
      <w:bodyDiv w:val="1"/>
      <w:marLeft w:val="0"/>
      <w:marRight w:val="0"/>
      <w:marTop w:val="0"/>
      <w:marBottom w:val="0"/>
      <w:divBdr>
        <w:top w:val="none" w:sz="0" w:space="0" w:color="auto"/>
        <w:left w:val="none" w:sz="0" w:space="0" w:color="auto"/>
        <w:bottom w:val="none" w:sz="0" w:space="0" w:color="auto"/>
        <w:right w:val="none" w:sz="0" w:space="0" w:color="auto"/>
      </w:divBdr>
    </w:div>
    <w:div w:id="662011648">
      <w:bodyDiv w:val="1"/>
      <w:marLeft w:val="0"/>
      <w:marRight w:val="0"/>
      <w:marTop w:val="0"/>
      <w:marBottom w:val="0"/>
      <w:divBdr>
        <w:top w:val="none" w:sz="0" w:space="0" w:color="auto"/>
        <w:left w:val="none" w:sz="0" w:space="0" w:color="auto"/>
        <w:bottom w:val="none" w:sz="0" w:space="0" w:color="auto"/>
        <w:right w:val="none" w:sz="0" w:space="0" w:color="auto"/>
      </w:divBdr>
    </w:div>
    <w:div w:id="780609408">
      <w:bodyDiv w:val="1"/>
      <w:marLeft w:val="0"/>
      <w:marRight w:val="0"/>
      <w:marTop w:val="0"/>
      <w:marBottom w:val="0"/>
      <w:divBdr>
        <w:top w:val="none" w:sz="0" w:space="0" w:color="auto"/>
        <w:left w:val="none" w:sz="0" w:space="0" w:color="auto"/>
        <w:bottom w:val="none" w:sz="0" w:space="0" w:color="auto"/>
        <w:right w:val="none" w:sz="0" w:space="0" w:color="auto"/>
      </w:divBdr>
    </w:div>
    <w:div w:id="867375727">
      <w:bodyDiv w:val="1"/>
      <w:marLeft w:val="0"/>
      <w:marRight w:val="0"/>
      <w:marTop w:val="0"/>
      <w:marBottom w:val="0"/>
      <w:divBdr>
        <w:top w:val="none" w:sz="0" w:space="0" w:color="auto"/>
        <w:left w:val="none" w:sz="0" w:space="0" w:color="auto"/>
        <w:bottom w:val="none" w:sz="0" w:space="0" w:color="auto"/>
        <w:right w:val="none" w:sz="0" w:space="0" w:color="auto"/>
      </w:divBdr>
    </w:div>
    <w:div w:id="940839786">
      <w:bodyDiv w:val="1"/>
      <w:marLeft w:val="0"/>
      <w:marRight w:val="0"/>
      <w:marTop w:val="0"/>
      <w:marBottom w:val="0"/>
      <w:divBdr>
        <w:top w:val="none" w:sz="0" w:space="0" w:color="auto"/>
        <w:left w:val="none" w:sz="0" w:space="0" w:color="auto"/>
        <w:bottom w:val="none" w:sz="0" w:space="0" w:color="auto"/>
        <w:right w:val="none" w:sz="0" w:space="0" w:color="auto"/>
      </w:divBdr>
    </w:div>
    <w:div w:id="962003345">
      <w:bodyDiv w:val="1"/>
      <w:marLeft w:val="0"/>
      <w:marRight w:val="0"/>
      <w:marTop w:val="0"/>
      <w:marBottom w:val="0"/>
      <w:divBdr>
        <w:top w:val="none" w:sz="0" w:space="0" w:color="auto"/>
        <w:left w:val="none" w:sz="0" w:space="0" w:color="auto"/>
        <w:bottom w:val="none" w:sz="0" w:space="0" w:color="auto"/>
        <w:right w:val="none" w:sz="0" w:space="0" w:color="auto"/>
      </w:divBdr>
    </w:div>
    <w:div w:id="981811439">
      <w:bodyDiv w:val="1"/>
      <w:marLeft w:val="0"/>
      <w:marRight w:val="0"/>
      <w:marTop w:val="0"/>
      <w:marBottom w:val="0"/>
      <w:divBdr>
        <w:top w:val="none" w:sz="0" w:space="0" w:color="auto"/>
        <w:left w:val="none" w:sz="0" w:space="0" w:color="auto"/>
        <w:bottom w:val="none" w:sz="0" w:space="0" w:color="auto"/>
        <w:right w:val="none" w:sz="0" w:space="0" w:color="auto"/>
      </w:divBdr>
    </w:div>
    <w:div w:id="1000615969">
      <w:bodyDiv w:val="1"/>
      <w:marLeft w:val="0"/>
      <w:marRight w:val="0"/>
      <w:marTop w:val="0"/>
      <w:marBottom w:val="0"/>
      <w:divBdr>
        <w:top w:val="none" w:sz="0" w:space="0" w:color="auto"/>
        <w:left w:val="none" w:sz="0" w:space="0" w:color="auto"/>
        <w:bottom w:val="none" w:sz="0" w:space="0" w:color="auto"/>
        <w:right w:val="none" w:sz="0" w:space="0" w:color="auto"/>
      </w:divBdr>
    </w:div>
    <w:div w:id="1051229580">
      <w:bodyDiv w:val="1"/>
      <w:marLeft w:val="0"/>
      <w:marRight w:val="0"/>
      <w:marTop w:val="0"/>
      <w:marBottom w:val="0"/>
      <w:divBdr>
        <w:top w:val="none" w:sz="0" w:space="0" w:color="auto"/>
        <w:left w:val="none" w:sz="0" w:space="0" w:color="auto"/>
        <w:bottom w:val="none" w:sz="0" w:space="0" w:color="auto"/>
        <w:right w:val="none" w:sz="0" w:space="0" w:color="auto"/>
      </w:divBdr>
    </w:div>
    <w:div w:id="1171673922">
      <w:bodyDiv w:val="1"/>
      <w:marLeft w:val="0"/>
      <w:marRight w:val="0"/>
      <w:marTop w:val="0"/>
      <w:marBottom w:val="0"/>
      <w:divBdr>
        <w:top w:val="none" w:sz="0" w:space="0" w:color="auto"/>
        <w:left w:val="none" w:sz="0" w:space="0" w:color="auto"/>
        <w:bottom w:val="none" w:sz="0" w:space="0" w:color="auto"/>
        <w:right w:val="none" w:sz="0" w:space="0" w:color="auto"/>
      </w:divBdr>
    </w:div>
    <w:div w:id="1283880453">
      <w:bodyDiv w:val="1"/>
      <w:marLeft w:val="0"/>
      <w:marRight w:val="0"/>
      <w:marTop w:val="0"/>
      <w:marBottom w:val="0"/>
      <w:divBdr>
        <w:top w:val="none" w:sz="0" w:space="0" w:color="auto"/>
        <w:left w:val="none" w:sz="0" w:space="0" w:color="auto"/>
        <w:bottom w:val="none" w:sz="0" w:space="0" w:color="auto"/>
        <w:right w:val="none" w:sz="0" w:space="0" w:color="auto"/>
      </w:divBdr>
    </w:div>
    <w:div w:id="1291321542">
      <w:bodyDiv w:val="1"/>
      <w:marLeft w:val="0"/>
      <w:marRight w:val="0"/>
      <w:marTop w:val="0"/>
      <w:marBottom w:val="0"/>
      <w:divBdr>
        <w:top w:val="none" w:sz="0" w:space="0" w:color="auto"/>
        <w:left w:val="none" w:sz="0" w:space="0" w:color="auto"/>
        <w:bottom w:val="none" w:sz="0" w:space="0" w:color="auto"/>
        <w:right w:val="none" w:sz="0" w:space="0" w:color="auto"/>
      </w:divBdr>
    </w:div>
    <w:div w:id="1451778882">
      <w:bodyDiv w:val="1"/>
      <w:marLeft w:val="0"/>
      <w:marRight w:val="0"/>
      <w:marTop w:val="0"/>
      <w:marBottom w:val="0"/>
      <w:divBdr>
        <w:top w:val="none" w:sz="0" w:space="0" w:color="auto"/>
        <w:left w:val="none" w:sz="0" w:space="0" w:color="auto"/>
        <w:bottom w:val="none" w:sz="0" w:space="0" w:color="auto"/>
        <w:right w:val="none" w:sz="0" w:space="0" w:color="auto"/>
      </w:divBdr>
    </w:div>
    <w:div w:id="1523547956">
      <w:bodyDiv w:val="1"/>
      <w:marLeft w:val="0"/>
      <w:marRight w:val="0"/>
      <w:marTop w:val="0"/>
      <w:marBottom w:val="0"/>
      <w:divBdr>
        <w:top w:val="none" w:sz="0" w:space="0" w:color="auto"/>
        <w:left w:val="none" w:sz="0" w:space="0" w:color="auto"/>
        <w:bottom w:val="none" w:sz="0" w:space="0" w:color="auto"/>
        <w:right w:val="none" w:sz="0" w:space="0" w:color="auto"/>
      </w:divBdr>
    </w:div>
    <w:div w:id="1587305412">
      <w:bodyDiv w:val="1"/>
      <w:marLeft w:val="0"/>
      <w:marRight w:val="0"/>
      <w:marTop w:val="0"/>
      <w:marBottom w:val="0"/>
      <w:divBdr>
        <w:top w:val="none" w:sz="0" w:space="0" w:color="auto"/>
        <w:left w:val="none" w:sz="0" w:space="0" w:color="auto"/>
        <w:bottom w:val="none" w:sz="0" w:space="0" w:color="auto"/>
        <w:right w:val="none" w:sz="0" w:space="0" w:color="auto"/>
      </w:divBdr>
    </w:div>
    <w:div w:id="1696880485">
      <w:bodyDiv w:val="1"/>
      <w:marLeft w:val="0"/>
      <w:marRight w:val="0"/>
      <w:marTop w:val="0"/>
      <w:marBottom w:val="0"/>
      <w:divBdr>
        <w:top w:val="none" w:sz="0" w:space="0" w:color="auto"/>
        <w:left w:val="none" w:sz="0" w:space="0" w:color="auto"/>
        <w:bottom w:val="none" w:sz="0" w:space="0" w:color="auto"/>
        <w:right w:val="none" w:sz="0" w:space="0" w:color="auto"/>
      </w:divBdr>
    </w:div>
    <w:div w:id="1800341286">
      <w:bodyDiv w:val="1"/>
      <w:marLeft w:val="0"/>
      <w:marRight w:val="0"/>
      <w:marTop w:val="0"/>
      <w:marBottom w:val="0"/>
      <w:divBdr>
        <w:top w:val="none" w:sz="0" w:space="0" w:color="auto"/>
        <w:left w:val="none" w:sz="0" w:space="0" w:color="auto"/>
        <w:bottom w:val="none" w:sz="0" w:space="0" w:color="auto"/>
        <w:right w:val="none" w:sz="0" w:space="0" w:color="auto"/>
      </w:divBdr>
    </w:div>
    <w:div w:id="1819295821">
      <w:bodyDiv w:val="1"/>
      <w:marLeft w:val="0"/>
      <w:marRight w:val="0"/>
      <w:marTop w:val="0"/>
      <w:marBottom w:val="0"/>
      <w:divBdr>
        <w:top w:val="none" w:sz="0" w:space="0" w:color="auto"/>
        <w:left w:val="none" w:sz="0" w:space="0" w:color="auto"/>
        <w:bottom w:val="none" w:sz="0" w:space="0" w:color="auto"/>
        <w:right w:val="none" w:sz="0" w:space="0" w:color="auto"/>
      </w:divBdr>
    </w:div>
    <w:div w:id="1820686074">
      <w:bodyDiv w:val="1"/>
      <w:marLeft w:val="0"/>
      <w:marRight w:val="0"/>
      <w:marTop w:val="0"/>
      <w:marBottom w:val="0"/>
      <w:divBdr>
        <w:top w:val="none" w:sz="0" w:space="0" w:color="auto"/>
        <w:left w:val="none" w:sz="0" w:space="0" w:color="auto"/>
        <w:bottom w:val="none" w:sz="0" w:space="0" w:color="auto"/>
        <w:right w:val="none" w:sz="0" w:space="0" w:color="auto"/>
      </w:divBdr>
    </w:div>
    <w:div w:id="1854226976">
      <w:bodyDiv w:val="1"/>
      <w:marLeft w:val="0"/>
      <w:marRight w:val="0"/>
      <w:marTop w:val="0"/>
      <w:marBottom w:val="0"/>
      <w:divBdr>
        <w:top w:val="none" w:sz="0" w:space="0" w:color="auto"/>
        <w:left w:val="none" w:sz="0" w:space="0" w:color="auto"/>
        <w:bottom w:val="none" w:sz="0" w:space="0" w:color="auto"/>
        <w:right w:val="none" w:sz="0" w:space="0" w:color="auto"/>
      </w:divBdr>
    </w:div>
    <w:div w:id="1901863321">
      <w:bodyDiv w:val="1"/>
      <w:marLeft w:val="0"/>
      <w:marRight w:val="0"/>
      <w:marTop w:val="0"/>
      <w:marBottom w:val="0"/>
      <w:divBdr>
        <w:top w:val="none" w:sz="0" w:space="0" w:color="auto"/>
        <w:left w:val="none" w:sz="0" w:space="0" w:color="auto"/>
        <w:bottom w:val="none" w:sz="0" w:space="0" w:color="auto"/>
        <w:right w:val="none" w:sz="0" w:space="0" w:color="auto"/>
      </w:divBdr>
    </w:div>
    <w:div w:id="1926957988">
      <w:bodyDiv w:val="1"/>
      <w:marLeft w:val="0"/>
      <w:marRight w:val="0"/>
      <w:marTop w:val="0"/>
      <w:marBottom w:val="0"/>
      <w:divBdr>
        <w:top w:val="none" w:sz="0" w:space="0" w:color="auto"/>
        <w:left w:val="none" w:sz="0" w:space="0" w:color="auto"/>
        <w:bottom w:val="none" w:sz="0" w:space="0" w:color="auto"/>
        <w:right w:val="none" w:sz="0" w:space="0" w:color="auto"/>
      </w:divBdr>
    </w:div>
    <w:div w:id="1947613450">
      <w:bodyDiv w:val="1"/>
      <w:marLeft w:val="0"/>
      <w:marRight w:val="0"/>
      <w:marTop w:val="0"/>
      <w:marBottom w:val="0"/>
      <w:divBdr>
        <w:top w:val="none" w:sz="0" w:space="0" w:color="auto"/>
        <w:left w:val="none" w:sz="0" w:space="0" w:color="auto"/>
        <w:bottom w:val="none" w:sz="0" w:space="0" w:color="auto"/>
        <w:right w:val="none" w:sz="0" w:space="0" w:color="auto"/>
      </w:divBdr>
    </w:div>
    <w:div w:id="1983265184">
      <w:bodyDiv w:val="1"/>
      <w:marLeft w:val="0"/>
      <w:marRight w:val="0"/>
      <w:marTop w:val="0"/>
      <w:marBottom w:val="0"/>
      <w:divBdr>
        <w:top w:val="none" w:sz="0" w:space="0" w:color="auto"/>
        <w:left w:val="none" w:sz="0" w:space="0" w:color="auto"/>
        <w:bottom w:val="none" w:sz="0" w:space="0" w:color="auto"/>
        <w:right w:val="none" w:sz="0" w:space="0" w:color="auto"/>
      </w:divBdr>
    </w:div>
    <w:div w:id="1984389114">
      <w:bodyDiv w:val="1"/>
      <w:marLeft w:val="0"/>
      <w:marRight w:val="0"/>
      <w:marTop w:val="0"/>
      <w:marBottom w:val="0"/>
      <w:divBdr>
        <w:top w:val="none" w:sz="0" w:space="0" w:color="auto"/>
        <w:left w:val="none" w:sz="0" w:space="0" w:color="auto"/>
        <w:bottom w:val="none" w:sz="0" w:space="0" w:color="auto"/>
        <w:right w:val="none" w:sz="0" w:space="0" w:color="auto"/>
      </w:divBdr>
    </w:div>
    <w:div w:id="2083335939">
      <w:bodyDiv w:val="1"/>
      <w:marLeft w:val="0"/>
      <w:marRight w:val="0"/>
      <w:marTop w:val="0"/>
      <w:marBottom w:val="0"/>
      <w:divBdr>
        <w:top w:val="none" w:sz="0" w:space="0" w:color="auto"/>
        <w:left w:val="none" w:sz="0" w:space="0" w:color="auto"/>
        <w:bottom w:val="none" w:sz="0" w:space="0" w:color="auto"/>
        <w:right w:val="none" w:sz="0" w:space="0" w:color="auto"/>
      </w:divBdr>
    </w:div>
    <w:div w:id="2134404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accounting_tax_law.academic.ru/669/%D0%9E%D1%80%D0%B3%D0%B0%D0%BD%D0%B8%D0%B7%D0%B0%D1%86%D0%B8%D0%B8" TargetMode="External"/><Relationship Id="rId18" Type="http://schemas.openxmlformats.org/officeDocument/2006/relationships/hyperlink" Target="http://finance.lenspecsmu.ru/" TargetMode="Externa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hyperlink" Target="consultantplus://offline/ref=C59B67D62118163D3A4B52475528AA25930EB33D62CB2D22D036151533F2A78CB39E5517AE06310CL2y7P" TargetMode="External"/><Relationship Id="rId7" Type="http://schemas.openxmlformats.org/officeDocument/2006/relationships/footnotes" Target="footnotes.xml"/><Relationship Id="rId12" Type="http://schemas.openxmlformats.org/officeDocument/2006/relationships/hyperlink" Target="mailto:dmitriy.ivanov@etalongroup.com" TargetMode="External"/><Relationship Id="rId17" Type="http://schemas.openxmlformats.org/officeDocument/2006/relationships/hyperlink" Target="http://www.e-disclosure.ru/portal/company.aspx?id=23065" TargetMode="External"/><Relationship Id="rId2" Type="http://schemas.openxmlformats.org/officeDocument/2006/relationships/numbering" Target="numbering.xml"/><Relationship Id="rId16" Type="http://schemas.openxmlformats.org/officeDocument/2006/relationships/hyperlink" Target="consultantplus://offline/ref=0A31EA3A9D5BDBC7AC89303476FA698ACDDFAA16A225C257A81BA2E80D396CA32A8078EFE9E98634pFB5H" TargetMode="External"/><Relationship Id="rId20" Type="http://schemas.openxmlformats.org/officeDocument/2006/relationships/hyperlink" Target="consultantplus://offline/ref=5BFA44F305D105F2CEACAD5A25DF990B05CF7EDA49AACF327393E35965XAHC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br.ru/hd_base/InfoDirectRepo.asp"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0A31EA3A9D5BDBC7AC89303476FA698ACDDFAA16A225C257A81BA2E80D396CA32A8078EFE9E98D33pFBCH" TargetMode="External"/><Relationship Id="rId23" Type="http://schemas.openxmlformats.org/officeDocument/2006/relationships/fontTable" Target="fontTable.xml"/><Relationship Id="rId10" Type="http://schemas.openxmlformats.org/officeDocument/2006/relationships/hyperlink" Target="http://www.moex.com/s18" TargetMode="External"/><Relationship Id="rId19" Type="http://schemas.openxmlformats.org/officeDocument/2006/relationships/hyperlink" Target="http://www.e-disclosure.ru/portal/company.aspx?id=23065" TargetMode="External"/><Relationship Id="rId4" Type="http://schemas.microsoft.com/office/2007/relationships/stylesWithEffects" Target="stylesWithEffects.xml"/><Relationship Id="rId9" Type="http://schemas.openxmlformats.org/officeDocument/2006/relationships/hyperlink" Target="consultantplus://offline/ref=0E885329CB9322F50FCF7361F164B624F2F504A65848C2E3293AA4F213F08B3D519C8D669560FCPAu6L" TargetMode="External"/><Relationship Id="rId14" Type="http://schemas.openxmlformats.org/officeDocument/2006/relationships/hyperlink" Target="file:///\\g1\shares\Folders\Yurkova\&#1051;&#1077;&#1085;&#1057;&#1087;&#1077;&#1094;&#1057;&#1052;&#1059;\&#1069;&#1084;&#1080;&#1089;&#1089;&#1080;&#1086;&#1085;&#1085;&#1099;&#1077;%20&#1076;&#1086;&#1082;&#1091;&#1084;&#1077;&#1085;&#1090;&#1099;\Prospectus.docx"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40E815-C60B-4A34-98D4-370E8AE12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6</Pages>
  <Words>69969</Words>
  <Characters>398827</Characters>
  <Application>Microsoft Office Word</Application>
  <DocSecurity>0</DocSecurity>
  <Lines>3323</Lines>
  <Paragraphs>935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467861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Юркова</dc:creator>
  <cp:lastModifiedBy>Гонцова Наталья Сергеевна</cp:lastModifiedBy>
  <cp:revision>11</cp:revision>
  <cp:lastPrinted>2016-04-27T13:11:00Z</cp:lastPrinted>
  <dcterms:created xsi:type="dcterms:W3CDTF">2016-04-27T10:47:00Z</dcterms:created>
  <dcterms:modified xsi:type="dcterms:W3CDTF">2016-04-27T13:38:00Z</dcterms:modified>
</cp:coreProperties>
</file>